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84" w:rsidRDefault="0001418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14184" w:rsidRDefault="00014184">
      <w:pPr>
        <w:pStyle w:val="ConsPlusNormal"/>
        <w:ind w:firstLine="540"/>
        <w:jc w:val="both"/>
        <w:outlineLvl w:val="0"/>
      </w:pPr>
    </w:p>
    <w:p w:rsidR="00014184" w:rsidRDefault="00014184">
      <w:pPr>
        <w:pStyle w:val="ConsPlusTitle"/>
        <w:jc w:val="center"/>
      </w:pPr>
      <w:r>
        <w:t>ФЕДЕРАЛЬНАЯ АНТИМОНОПОЛЬНАЯ СЛУЖБА</w:t>
      </w:r>
    </w:p>
    <w:p w:rsidR="00014184" w:rsidRDefault="00014184">
      <w:pPr>
        <w:pStyle w:val="ConsPlusTitle"/>
        <w:jc w:val="center"/>
      </w:pPr>
    </w:p>
    <w:p w:rsidR="00014184" w:rsidRDefault="00014184">
      <w:pPr>
        <w:pStyle w:val="ConsPlusTitle"/>
        <w:jc w:val="center"/>
      </w:pPr>
      <w:r>
        <w:t>РЕШЕНИЕ</w:t>
      </w:r>
    </w:p>
    <w:p w:rsidR="00014184" w:rsidRDefault="00014184">
      <w:pPr>
        <w:pStyle w:val="ConsPlusTitle"/>
        <w:jc w:val="center"/>
      </w:pPr>
      <w:r>
        <w:t>от 4 июля 2022 г. по делу N 28/06/105-2185/2022</w:t>
      </w:r>
    </w:p>
    <w:p w:rsidR="00014184" w:rsidRDefault="00014184">
      <w:pPr>
        <w:pStyle w:val="ConsPlusTitle"/>
        <w:jc w:val="center"/>
      </w:pPr>
    </w:p>
    <w:p w:rsidR="00014184" w:rsidRDefault="00014184">
      <w:pPr>
        <w:pStyle w:val="ConsPlusTitle"/>
        <w:jc w:val="center"/>
      </w:pPr>
      <w:r>
        <w:t>О НАРУШЕНИИ ЗАКОНОДАТЕЛЬСТВА РОССИЙСКОЙ ФЕДЕРАЦИИ</w:t>
      </w:r>
    </w:p>
    <w:p w:rsidR="00014184" w:rsidRDefault="00014184">
      <w:pPr>
        <w:pStyle w:val="ConsPlusTitle"/>
        <w:jc w:val="center"/>
      </w:pPr>
      <w:r>
        <w:t>О КОНТРАКТНОЙ СИСТЕМЕ В СФЕРЕ ЗАКУПОК</w:t>
      </w:r>
    </w:p>
    <w:p w:rsidR="00014184" w:rsidRDefault="00014184">
      <w:pPr>
        <w:pStyle w:val="ConsPlusNormal"/>
        <w:ind w:firstLine="540"/>
        <w:jc w:val="both"/>
      </w:pPr>
    </w:p>
    <w:p w:rsidR="00014184" w:rsidRDefault="00014184">
      <w:pPr>
        <w:pStyle w:val="ConsPlusNormal"/>
        <w:ind w:firstLine="540"/>
        <w:jc w:val="both"/>
      </w:pPr>
      <w:r>
        <w:t>Комиссия Федеральной антимонопольной службы по контролю в сфере закупок (далее - Комиссия)</w:t>
      </w:r>
    </w:p>
    <w:p w:rsidR="00014184" w:rsidRDefault="00014184">
      <w:pPr>
        <w:pStyle w:val="ConsPlusNormal"/>
        <w:spacing w:before="220"/>
        <w:ind w:firstLine="540"/>
        <w:jc w:val="both"/>
      </w:pPr>
      <w:proofErr w:type="gramStart"/>
      <w:r>
        <w:t>рассмотрев посредством системы видеоконференц-связи жалобу ИП Б. (далее - Заявитель) на действия "Ф" (далее - Заказчик) при проведении Заказчиком, комиссией по осуществлению закупок "Ф" (далее - Комиссия по осуществлению закупок), АО "Т" (далее - Оператор электронной площадки) электронного аукциона на право заключения государственного контракта на оказание услуг по комплексному обслуживанию административного здания и прилегающей территории "Ф" (номер извещения в единой информационной системе в сфере</w:t>
      </w:r>
      <w:proofErr w:type="gramEnd"/>
      <w:r>
        <w:t xml:space="preserve"> </w:t>
      </w:r>
      <w:proofErr w:type="gramStart"/>
      <w:r>
        <w:t xml:space="preserve">закупок www.zakupki.gov.ru (далее - ЕИС) - 0173100013822000006) (далее - Аукцион), и в результате осуществления внеплановой проверки в соответствии с </w:t>
      </w:r>
      <w:hyperlink r:id="rId6">
        <w:r>
          <w:rPr>
            <w:color w:val="0000FF"/>
          </w:rPr>
          <w:t>пунктом 1 части 15 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</w:t>
      </w:r>
      <w:proofErr w:type="gramEnd"/>
    </w:p>
    <w:p w:rsidR="00014184" w:rsidRDefault="00014184">
      <w:pPr>
        <w:pStyle w:val="ConsPlusNormal"/>
        <w:jc w:val="center"/>
      </w:pPr>
    </w:p>
    <w:p w:rsidR="00014184" w:rsidRDefault="00014184">
      <w:pPr>
        <w:pStyle w:val="ConsPlusNormal"/>
        <w:jc w:val="center"/>
      </w:pPr>
      <w:r>
        <w:t>установила:</w:t>
      </w:r>
    </w:p>
    <w:p w:rsidR="00014184" w:rsidRDefault="00014184">
      <w:pPr>
        <w:pStyle w:val="ConsPlusNormal"/>
        <w:jc w:val="center"/>
      </w:pPr>
    </w:p>
    <w:p w:rsidR="00014184" w:rsidRDefault="00014184">
      <w:pPr>
        <w:pStyle w:val="ConsPlusNormal"/>
        <w:ind w:firstLine="540"/>
        <w:jc w:val="both"/>
      </w:pPr>
      <w:r>
        <w:t xml:space="preserve">В Федеральную антимонопольную службу поступила жалоба Заявителя на действия Заказчика при </w:t>
      </w:r>
      <w:proofErr w:type="gramStart"/>
      <w:r>
        <w:t>проведении</w:t>
      </w:r>
      <w:proofErr w:type="gramEnd"/>
      <w:r>
        <w:t xml:space="preserve"> Заказчиком, Оператором электронной площадки Аукциона.</w:t>
      </w:r>
    </w:p>
    <w:p w:rsidR="00014184" w:rsidRDefault="00014184">
      <w:pPr>
        <w:pStyle w:val="ConsPlusNormal"/>
        <w:spacing w:before="220"/>
        <w:ind w:firstLine="540"/>
        <w:jc w:val="both"/>
      </w:pPr>
      <w:proofErr w:type="gramStart"/>
      <w:r>
        <w:t xml:space="preserve">По мнению Заявителя, его права и законные интересы нарушены действиями Заказчика, ненадлежащим образом сформировавшего описание объекта закупки, а также установившего в извещении о проведении Аукциона (далее - Извещение) дополнительные требования к участникам закупки, предусмотренные двумя позициями </w:t>
      </w:r>
      <w:hyperlink r:id="rId7">
        <w:r>
          <w:rPr>
            <w:color w:val="0000FF"/>
          </w:rPr>
          <w:t>приложения</w:t>
        </w:r>
      </w:hyperlink>
      <w:r>
        <w:t xml:space="preserve"> к постановлению Правительства от 29.12.2021 N 2571 "О дополнительных требованиях к участникам закупки отдельных видов товаров, работ, услуг для обеспечения государственных и муниципальных нужд</w:t>
      </w:r>
      <w:proofErr w:type="gramEnd"/>
      <w:r>
        <w:t xml:space="preserve">, а также об информации и документах, подтверждающих соответствие участников закупки указанным дополнительным требованиям, и признании </w:t>
      </w:r>
      <w:proofErr w:type="gramStart"/>
      <w:r>
        <w:t>утратившими</w:t>
      </w:r>
      <w:proofErr w:type="gramEnd"/>
      <w:r>
        <w:t xml:space="preserve"> силу некоторых актов и отдельных положений актов Правительства Российской Федерации" (далее - Постановление N 2571).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Представитель Заказчика на заседании Комиссии не согласился с доводами Заявителя и сообщил, что при проведен</w:t>
      </w:r>
      <w:proofErr w:type="gramStart"/>
      <w:r>
        <w:t>ии Ау</w:t>
      </w:r>
      <w:proofErr w:type="gramEnd"/>
      <w:r>
        <w:t>кциона Заказчик действовал в соответствии с законодательством Российской Федерации о контрактной системе в сфере закупок.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В ходе рассмотрения жалобы Заявителя на действия Заказчика 01.07.2022 Комиссией в целях полного и всестороннего рассмотрения жалобы в заседании Комиссии объявлен перерыв, заседание продолжилось 04.07.2022.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В результате рассмотрения жалобы и осуществления в соответствии с </w:t>
      </w:r>
      <w:hyperlink r:id="rId8">
        <w:r>
          <w:rPr>
            <w:color w:val="0000FF"/>
          </w:rPr>
          <w:t>пунктом 1 части 15 статьи 99</w:t>
        </w:r>
      </w:hyperlink>
      <w:r>
        <w:t xml:space="preserve"> Закона о контрактной системе внеплановой проверки Комиссия установила следующее.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В соответствии с извещением о проведен</w:t>
      </w:r>
      <w:proofErr w:type="gramStart"/>
      <w:r>
        <w:t>ии Ау</w:t>
      </w:r>
      <w:proofErr w:type="gramEnd"/>
      <w:r>
        <w:t>кциона, протоколами, составленными в ходе проведения Аукциона: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lastRenderedPageBreak/>
        <w:t>1) Извещение размещено в ЕИС - 20.06.2022;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2) способ определения поставщика (подрядчика, исполнителя) - электронный аукцион;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3) начальная (максимальная) цена контракта (далее - НМЦК) - 23 545 437,84 руб.;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4) источник финансирования - федеральный бюджет Российской Федерации, КБК - 09604012340390020244;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5) дата окончания срока подачи заявок на участие в </w:t>
      </w:r>
      <w:proofErr w:type="gramStart"/>
      <w:r>
        <w:t>Аукционе</w:t>
      </w:r>
      <w:proofErr w:type="gramEnd"/>
      <w:r>
        <w:t xml:space="preserve"> - 28.06.2022;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6) на участие в </w:t>
      </w:r>
      <w:proofErr w:type="gramStart"/>
      <w:r>
        <w:t>Аукционе</w:t>
      </w:r>
      <w:proofErr w:type="gramEnd"/>
      <w:r>
        <w:t xml:space="preserve"> подано 3 заявки от участников закупки, 2 из которых признаны соответствующими требованиям Извещения и </w:t>
      </w:r>
      <w:hyperlink r:id="rId9">
        <w:r>
          <w:rPr>
            <w:color w:val="0000FF"/>
          </w:rPr>
          <w:t>Закона</w:t>
        </w:r>
      </w:hyperlink>
      <w:r>
        <w:t xml:space="preserve"> о контрактной системе;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7) победителем Аукциона признан</w:t>
      </w:r>
      <w:proofErr w:type="gramStart"/>
      <w:r>
        <w:t>о ООО</w:t>
      </w:r>
      <w:proofErr w:type="gramEnd"/>
      <w:r>
        <w:t xml:space="preserve"> "Б" с предложением о цене контракта в размере 19 700 000 руб.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1. Согласно доводу Заявителя Заказчиком ненадлежащим образом сформировано описание объекта закупки, а также неправомерно установлены в </w:t>
      </w:r>
      <w:proofErr w:type="gramStart"/>
      <w:r>
        <w:t>Извещении</w:t>
      </w:r>
      <w:proofErr w:type="gramEnd"/>
      <w:r>
        <w:t xml:space="preserve"> дополнительные требования к участникам закупки по двум позициям </w:t>
      </w:r>
      <w:hyperlink r:id="rId10">
        <w:r>
          <w:rPr>
            <w:color w:val="0000FF"/>
          </w:rPr>
          <w:t>приложения</w:t>
        </w:r>
      </w:hyperlink>
      <w:r>
        <w:t xml:space="preserve"> к Постановлению N 2571.</w:t>
      </w:r>
    </w:p>
    <w:p w:rsidR="00014184" w:rsidRDefault="00014184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Пунктом 1 части 2 статьи 42</w:t>
        </w:r>
      </w:hyperlink>
      <w:r>
        <w:t xml:space="preserve"> Закона о контрактной системе установлено, что извещение об осуществлении закупки, если иное не предусмотрено </w:t>
      </w:r>
      <w:hyperlink r:id="rId12">
        <w:r>
          <w:rPr>
            <w:color w:val="0000FF"/>
          </w:rPr>
          <w:t>Законом</w:t>
        </w:r>
      </w:hyperlink>
      <w:r>
        <w:t xml:space="preserve"> о контрактной системе, должно содержать описание объекта закупки в соответствии со </w:t>
      </w:r>
      <w:hyperlink r:id="rId13">
        <w:r>
          <w:rPr>
            <w:color w:val="0000FF"/>
          </w:rPr>
          <w:t>статьей 33</w:t>
        </w:r>
      </w:hyperlink>
      <w:r>
        <w:t xml:space="preserve"> Закона о контрактной системе.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пунктом 1 части 1 статьи 33</w:t>
        </w:r>
      </w:hyperlink>
      <w:r>
        <w:t xml:space="preserve"> Закона о контрактной системе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  <w:proofErr w:type="gramStart"/>
      <w: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  <w:proofErr w:type="gramEnd"/>
    </w:p>
    <w:p w:rsidR="00014184" w:rsidRDefault="00014184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5">
        <w:r>
          <w:rPr>
            <w:color w:val="0000FF"/>
          </w:rPr>
          <w:t>части 2 статьи 31</w:t>
        </w:r>
      </w:hyperlink>
      <w:r>
        <w:t xml:space="preserve"> Закона о контрактной системе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наличию: финансовых ресурсов для исполнения контракта; на праве собственности или ином законном основании оборудования и других материальных ресурсов для исполнения контракта; опыта работы, связанного с предметом контракта, и деловой репутации;</w:t>
      </w:r>
      <w:proofErr w:type="gramEnd"/>
      <w:r>
        <w:t xml:space="preserve"> необходимого количества специалистов и иных работников определенного уровня квалификации для исполнения контракта.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частью 4 статьи 31</w:t>
        </w:r>
      </w:hyperlink>
      <w:r>
        <w:t xml:space="preserve"> Закона о контрактной системе в случае установления Правительством Российской Федерации в соответствии с </w:t>
      </w:r>
      <w:hyperlink r:id="rId17">
        <w:r>
          <w:rPr>
            <w:color w:val="0000FF"/>
          </w:rPr>
          <w:t>частью 2 статьи 31</w:t>
        </w:r>
      </w:hyperlink>
      <w:r>
        <w:t xml:space="preserve"> Закона о контрактной системе дополнительных требований к участникам закупок заказчики при определении поставщиков (подрядчиков, исполнителей) обязаны устанавливать такие дополнительные требования.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Указанные требования, а также перечень документов, подтверждающих соответствие участников закупки таким требованиям, установлены </w:t>
      </w:r>
      <w:hyperlink r:id="rId18">
        <w:r>
          <w:rPr>
            <w:color w:val="0000FF"/>
          </w:rPr>
          <w:t>Постановлением</w:t>
        </w:r>
      </w:hyperlink>
      <w:r>
        <w:t xml:space="preserve"> N 2571.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19">
        <w:r>
          <w:rPr>
            <w:color w:val="0000FF"/>
          </w:rPr>
          <w:t>части 6 статьи 31</w:t>
        </w:r>
      </w:hyperlink>
      <w:r>
        <w:t xml:space="preserve"> Закона о контрактной системе Заказчики не вправе устанавливать требования к участникам закупок в нарушение требований </w:t>
      </w:r>
      <w:hyperlink r:id="rId20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1">
        <w:r>
          <w:rPr>
            <w:color w:val="0000FF"/>
          </w:rPr>
          <w:t>абзацу пятому пункта 3</w:t>
        </w:r>
      </w:hyperlink>
      <w:r>
        <w:t xml:space="preserve"> Постановления N 2571 </w:t>
      </w:r>
      <w:hyperlink r:id="rId22">
        <w:r>
          <w:rPr>
            <w:color w:val="0000FF"/>
          </w:rPr>
          <w:t>позиции 14</w:t>
        </w:r>
      </w:hyperlink>
      <w:r>
        <w:t xml:space="preserve">, </w:t>
      </w:r>
      <w:hyperlink r:id="rId23">
        <w:r>
          <w:rPr>
            <w:color w:val="0000FF"/>
          </w:rPr>
          <w:t>15</w:t>
        </w:r>
      </w:hyperlink>
      <w:r>
        <w:t xml:space="preserve"> и </w:t>
      </w:r>
      <w:hyperlink r:id="rId24">
        <w:r>
          <w:rPr>
            <w:color w:val="0000FF"/>
          </w:rPr>
          <w:t>36</w:t>
        </w:r>
      </w:hyperlink>
      <w:r>
        <w:t xml:space="preserve"> приложения к Постановлению N 2571 применяются в случае, если при осуществлении закупки начальная </w:t>
      </w:r>
      <w:r>
        <w:lastRenderedPageBreak/>
        <w:t>(максимальная) цена контракта превышает 1 млн. рублей.</w:t>
      </w:r>
    </w:p>
    <w:p w:rsidR="00014184" w:rsidRDefault="00014184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Позицией 14</w:t>
        </w:r>
      </w:hyperlink>
      <w:r>
        <w:t xml:space="preserve"> приложения к Постановлению N 2571 установлено, что в </w:t>
      </w:r>
      <w:proofErr w:type="gramStart"/>
      <w:r>
        <w:t>случае</w:t>
      </w:r>
      <w:proofErr w:type="gramEnd"/>
      <w:r>
        <w:t xml:space="preserve"> проведения закупки на выполнение услуг по техническому обслуживанию зданий, сооружений к участникам закупки необходимо установить дополнительные требования о наличии опыта исполнения участником закупки договора, предусматривающего выполнение работ по техническому обслуживанию зданий, сооружений.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6">
        <w:r>
          <w:rPr>
            <w:color w:val="0000FF"/>
          </w:rPr>
          <w:t>позицией 36</w:t>
        </w:r>
      </w:hyperlink>
      <w:r>
        <w:t xml:space="preserve"> приложения к Постановлению N 2571 в случае проведения закупки на выполнение услуг по уборке зданий, сооружений, прилегающих к ним территорий к участникам закупки необходимо установить дополнительные требования о наличии опыта исполнения участником закупки договора, предусматривающего оказание услуг по уборке зданий, сооружений, прилегающих к ним территорий.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Цена оказанных услуг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Согласно Извещению объектом закупки является оказание услуг по комплексному обслуживанию административного здания и прилегающей территории "Ф" (далее - Услуги).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В соответствии с Извещением Заказчиком установлены дополнительные требования к участникам закупки, предусмотренные </w:t>
      </w:r>
      <w:hyperlink r:id="rId27">
        <w:r>
          <w:rPr>
            <w:color w:val="0000FF"/>
          </w:rPr>
          <w:t>позициями 14</w:t>
        </w:r>
      </w:hyperlink>
      <w:r>
        <w:t xml:space="preserve"> и </w:t>
      </w:r>
      <w:hyperlink r:id="rId28">
        <w:r>
          <w:rPr>
            <w:color w:val="0000FF"/>
          </w:rPr>
          <w:t>36</w:t>
        </w:r>
      </w:hyperlink>
      <w:r>
        <w:t xml:space="preserve"> приложения к </w:t>
      </w:r>
      <w:hyperlink r:id="rId29">
        <w:r>
          <w:rPr>
            <w:color w:val="0000FF"/>
          </w:rPr>
          <w:t>Постановлению</w:t>
        </w:r>
      </w:hyperlink>
      <w:r>
        <w:t xml:space="preserve"> N 2571.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Комиссией установлено, что техническим заданием (приложение N 1 к Извещению) (далее - Техническое задание) определен состав и содержание Услуг.</w:t>
      </w:r>
    </w:p>
    <w:p w:rsidR="00014184" w:rsidRDefault="00014184">
      <w:pPr>
        <w:pStyle w:val="ConsPlusNormal"/>
        <w:spacing w:before="220"/>
        <w:ind w:firstLine="540"/>
        <w:jc w:val="both"/>
      </w:pPr>
      <w:proofErr w:type="gramStart"/>
      <w:r>
        <w:t>Так, например, в рамках оказания услуг по техническому обслуживанию в соответствии с Техническим заданием исполнителю необходимо обеспечить круглосуточное обслуживание всех инженерных коммуникаций и систем здания, обеспечить функционирование систем электроснабжения, обеспечить обслуживание системы электроосвещения (ремонт и/или замена поврежденных участков электросети установочных изделий и осветительных приборов).</w:t>
      </w:r>
      <w:proofErr w:type="gramEnd"/>
    </w:p>
    <w:p w:rsidR="00014184" w:rsidRDefault="00014184">
      <w:pPr>
        <w:pStyle w:val="ConsPlusNormal"/>
        <w:spacing w:before="220"/>
        <w:ind w:firstLine="540"/>
        <w:jc w:val="both"/>
      </w:pPr>
      <w:proofErr w:type="gramStart"/>
      <w:r>
        <w:t>Также, согласно Техническому заданию в рамках оказания услуг по уборке исполнителю необходимо оказать услуги по основной уборке помещений, по поддерживающей уборке помещений, по генеральной уборке, по химической чистке ковровых покрытий и ковров и т.д.</w:t>
      </w:r>
      <w:proofErr w:type="gramEnd"/>
    </w:p>
    <w:p w:rsidR="00014184" w:rsidRDefault="00014184">
      <w:pPr>
        <w:pStyle w:val="ConsPlusNormal"/>
        <w:spacing w:before="220"/>
        <w:ind w:firstLine="540"/>
        <w:jc w:val="both"/>
      </w:pPr>
      <w:proofErr w:type="gramStart"/>
      <w:r>
        <w:t>Из жалобы Заявителя следует, что Заказчиком неправомерно объединены в один лот работы по обслуживанию инженерных систем здания и услуги по комплексной уборке здания и прилегающей территории, поскольку регламент, функции, специфика выполнения Услуг являются различными, не имеют функциональной и технической зависимости друг от друга, а также требуют наличия специалистов с разной квалификацией.</w:t>
      </w:r>
      <w:proofErr w:type="gramEnd"/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Кроме того, из жалобы Заявителя следует, что Заявитель обладает опытом выполнения работ, соответствующим </w:t>
      </w:r>
      <w:hyperlink r:id="rId30">
        <w:r>
          <w:rPr>
            <w:color w:val="0000FF"/>
          </w:rPr>
          <w:t>позиции 14</w:t>
        </w:r>
      </w:hyperlink>
      <w:r>
        <w:t xml:space="preserve"> приложения к Постановлению N 2571 (реестровый номер контракта в ЕИС - 2770206615721000046), при этом не обладает опытом, соответствующим </w:t>
      </w:r>
      <w:hyperlink r:id="rId31">
        <w:r>
          <w:rPr>
            <w:color w:val="0000FF"/>
          </w:rPr>
          <w:t>позиции 36</w:t>
        </w:r>
      </w:hyperlink>
      <w:r>
        <w:t xml:space="preserve"> приложения к Постановлению N 2571, в </w:t>
      </w:r>
      <w:proofErr w:type="gramStart"/>
      <w:r>
        <w:t>связи</w:t>
      </w:r>
      <w:proofErr w:type="gramEnd"/>
      <w:r>
        <w:t xml:space="preserve"> с чем не может принять участие в закупке ввиду установления в Извещении дополнительных требований по двум позициям </w:t>
      </w:r>
      <w:hyperlink r:id="rId32">
        <w:r>
          <w:rPr>
            <w:color w:val="0000FF"/>
          </w:rPr>
          <w:t>Постановления</w:t>
        </w:r>
      </w:hyperlink>
      <w:r>
        <w:t xml:space="preserve"> N 2571.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Представитель Заказчика на заседании Комиссии пояснил, что объем работ по обслуживанию инженерных систем здания и объем услуг по комплексной уборке здания и </w:t>
      </w:r>
      <w:r>
        <w:lastRenderedPageBreak/>
        <w:t xml:space="preserve">прилегающей территории являются соразмерными, в </w:t>
      </w:r>
      <w:proofErr w:type="gramStart"/>
      <w:r>
        <w:t>связи</w:t>
      </w:r>
      <w:proofErr w:type="gramEnd"/>
      <w:r>
        <w:t xml:space="preserve"> с чем к участникам закупки установлены дополнительные требования по двум позициям </w:t>
      </w:r>
      <w:hyperlink r:id="rId33">
        <w:r>
          <w:rPr>
            <w:color w:val="0000FF"/>
          </w:rPr>
          <w:t>приложения</w:t>
        </w:r>
      </w:hyperlink>
      <w:r>
        <w:t xml:space="preserve"> к Постановлению N 2571.</w:t>
      </w:r>
    </w:p>
    <w:p w:rsidR="00014184" w:rsidRDefault="00014184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Комиссия приходит к выводу, что установление дополнительных требований по двум позициям </w:t>
      </w:r>
      <w:hyperlink r:id="rId34">
        <w:r>
          <w:rPr>
            <w:color w:val="0000FF"/>
          </w:rPr>
          <w:t>приложения</w:t>
        </w:r>
      </w:hyperlink>
      <w:r>
        <w:t xml:space="preserve"> к Постановлению N 2571 исключает возможность участия в закупке субъектов, обладающих опытом выполнения работ по техническому обслуживанию зданий, и не обладающих опытом оказания услуг по комплексной уборке зданий и прилегающей территории, что также аналогично по отношению к субъектам, обладающих только опытом оказания услуг по комплексной</w:t>
      </w:r>
      <w:proofErr w:type="gramEnd"/>
      <w:r>
        <w:t xml:space="preserve"> уборке зданий и прилегающей территории.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Кроме того, по мнению Комиссии, объединение вышеназванных работ и услуг в один лот приводит к необоснованному ограничению количества участников закупки, поскольку указанные работы, услуги </w:t>
      </w:r>
      <w:proofErr w:type="gramStart"/>
      <w:r>
        <w:t>образуют разные товарные рынки и не имеют</w:t>
      </w:r>
      <w:proofErr w:type="gramEnd"/>
      <w:r>
        <w:t xml:space="preserve"> функциональную и технологическую связь между собой.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Учитывая изложенное, Комиссия приходит к выводу, что вышеуказанные действия Заказчика, нарушают </w:t>
      </w:r>
      <w:hyperlink r:id="rId35">
        <w:r>
          <w:rPr>
            <w:color w:val="0000FF"/>
          </w:rPr>
          <w:t>часть 6 статьи 31</w:t>
        </w:r>
      </w:hyperlink>
      <w:r>
        <w:t xml:space="preserve">, </w:t>
      </w:r>
      <w:hyperlink r:id="rId36">
        <w:r>
          <w:rPr>
            <w:color w:val="0000FF"/>
          </w:rPr>
          <w:t>пункт 1 части 2 статьи 42</w:t>
        </w:r>
      </w:hyperlink>
      <w:r>
        <w:t xml:space="preserve"> Закона о контрактной системе и содержат признаки административного правонарушения, ответственность за совершение которого предусмотрена </w:t>
      </w:r>
      <w:hyperlink r:id="rId37">
        <w:r>
          <w:rPr>
            <w:color w:val="0000FF"/>
          </w:rPr>
          <w:t>частями 4</w:t>
        </w:r>
      </w:hyperlink>
      <w:r>
        <w:t xml:space="preserve">, </w:t>
      </w:r>
      <w:hyperlink r:id="rId38">
        <w:r>
          <w:rPr>
            <w:color w:val="0000FF"/>
          </w:rPr>
          <w:t>4.1 статьи 7.30</w:t>
        </w:r>
      </w:hyperlink>
      <w:r>
        <w:t xml:space="preserve"> Кодекса Российской Федерации об административных правонарушениях (далее - КоАП РФ).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2. </w:t>
      </w:r>
      <w:hyperlink r:id="rId39">
        <w:proofErr w:type="gramStart"/>
        <w:r>
          <w:rPr>
            <w:color w:val="0000FF"/>
          </w:rPr>
          <w:t>Пунктом 3 части 12 статьи 48</w:t>
        </w:r>
      </w:hyperlink>
      <w:r>
        <w:t xml:space="preserve"> Закона о контрактной системе установлено, что при рассмотрении вторых частей заявок на участие в закупке соответствующая заявка подлежит отклонению в случае несоответствия участника закупки требованиям, установленным в извещении об осуществлении закупки в соответствии с </w:t>
      </w:r>
      <w:hyperlink r:id="rId40">
        <w:r>
          <w:rPr>
            <w:color w:val="0000FF"/>
          </w:rPr>
          <w:t>частью 1 статьи 31</w:t>
        </w:r>
      </w:hyperlink>
      <w:r>
        <w:t xml:space="preserve"> Закона о контрактной системе, требованиям, установленным в извещении об осуществлении закупки в соответствии с </w:t>
      </w:r>
      <w:hyperlink r:id="rId41">
        <w:r>
          <w:rPr>
            <w:color w:val="0000FF"/>
          </w:rPr>
          <w:t>частями 1.1</w:t>
        </w:r>
        <w:proofErr w:type="gramEnd"/>
      </w:hyperlink>
      <w:r>
        <w:t xml:space="preserve">, </w:t>
      </w:r>
      <w:hyperlink r:id="rId42">
        <w:r>
          <w:rPr>
            <w:color w:val="0000FF"/>
          </w:rPr>
          <w:t>2</w:t>
        </w:r>
      </w:hyperlink>
      <w:r>
        <w:t xml:space="preserve"> и </w:t>
      </w:r>
      <w:hyperlink r:id="rId43">
        <w:r>
          <w:rPr>
            <w:color w:val="0000FF"/>
          </w:rPr>
          <w:t>2.1</w:t>
        </w:r>
      </w:hyperlink>
      <w:r>
        <w:t xml:space="preserve"> (при </w:t>
      </w:r>
      <w:proofErr w:type="gramStart"/>
      <w:r>
        <w:t>наличии</w:t>
      </w:r>
      <w:proofErr w:type="gramEnd"/>
      <w:r>
        <w:t xml:space="preserve"> таких требований) статьи 31 Закона о контрактной системе.</w:t>
      </w:r>
    </w:p>
    <w:p w:rsidR="00014184" w:rsidRDefault="00014184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44">
        <w:r>
          <w:rPr>
            <w:color w:val="0000FF"/>
          </w:rPr>
          <w:t>подпунктом "а" пункта 1 части 5 статьи 49</w:t>
        </w:r>
      </w:hyperlink>
      <w:r>
        <w:t xml:space="preserve"> Закона о контрактной системе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 члены комиссии по осуществлению закупок рассматривают заявки на участие в закупке</w:t>
      </w:r>
      <w:proofErr w:type="gramEnd"/>
      <w:r>
        <w:t xml:space="preserve">, </w:t>
      </w:r>
      <w:proofErr w:type="gramStart"/>
      <w:r>
        <w:t xml:space="preserve">информацию и документы, направленные оператором электронной площадки в соответствии с </w:t>
      </w:r>
      <w:hyperlink r:id="rId45">
        <w:r>
          <w:rPr>
            <w:color w:val="0000FF"/>
          </w:rPr>
          <w:t>пунктом 4 части 4 статьи 49</w:t>
        </w:r>
      </w:hyperlink>
      <w:r>
        <w:t xml:space="preserve"> Закона о контрактной системе,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46">
        <w:r>
          <w:rPr>
            <w:color w:val="0000FF"/>
          </w:rPr>
          <w:t>пунктами 1</w:t>
        </w:r>
      </w:hyperlink>
      <w:r>
        <w:t xml:space="preserve"> - </w:t>
      </w:r>
      <w:hyperlink r:id="rId47">
        <w:r>
          <w:rPr>
            <w:color w:val="0000FF"/>
          </w:rPr>
          <w:t>8 части 12 статьи 48</w:t>
        </w:r>
      </w:hyperlink>
      <w:r>
        <w:t xml:space="preserve"> Закона о контрактной системе.</w:t>
      </w:r>
      <w:proofErr w:type="gramEnd"/>
    </w:p>
    <w:p w:rsidR="00014184" w:rsidRDefault="00014184">
      <w:pPr>
        <w:pStyle w:val="ConsPlusNormal"/>
        <w:spacing w:before="220"/>
        <w:ind w:firstLine="540"/>
        <w:jc w:val="both"/>
      </w:pPr>
      <w:r>
        <w:t>Согласно протоколу подведения итогов определения поставщика (подрядчика, исполнителя) от 30.06.2022 N ИЭА</w:t>
      </w:r>
      <w:proofErr w:type="gramStart"/>
      <w:r>
        <w:t>1</w:t>
      </w:r>
      <w:proofErr w:type="gramEnd"/>
      <w:r>
        <w:t xml:space="preserve"> заявка участника закупки с идентификационным N 1 признана несоответствующей требованиям </w:t>
      </w:r>
      <w:hyperlink r:id="rId48">
        <w:r>
          <w:rPr>
            <w:color w:val="0000FF"/>
          </w:rPr>
          <w:t>пункта 3 части 12 статьи 48</w:t>
        </w:r>
      </w:hyperlink>
      <w:r>
        <w:t xml:space="preserve"> Закона о контрактной системе, в связи с не предоставлением документов, подтверждающих опыт участника закупки в соответствии с </w:t>
      </w:r>
      <w:hyperlink r:id="rId49">
        <w:r>
          <w:rPr>
            <w:color w:val="0000FF"/>
          </w:rPr>
          <w:t>позицией 14</w:t>
        </w:r>
      </w:hyperlink>
      <w:r>
        <w:t xml:space="preserve"> приложения к Постановлению N 2571.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При этом установление в Извещении ненадлежащих дополнительных требований к участникам закупки повлекло неправомерное отклонение заявки участника закупки </w:t>
      </w:r>
      <w:proofErr w:type="gramStart"/>
      <w:r>
        <w:t>с</w:t>
      </w:r>
      <w:proofErr w:type="gramEnd"/>
      <w:r>
        <w:t xml:space="preserve"> идентификационным N 1.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Учитывая изложенное, Комиссия приходит к выводу, что вышеуказанные действия Комиссии по осуществлению закупок, </w:t>
      </w:r>
      <w:proofErr w:type="gramStart"/>
      <w:r>
        <w:t xml:space="preserve">нарушают </w:t>
      </w:r>
      <w:hyperlink r:id="rId50">
        <w:r>
          <w:rPr>
            <w:color w:val="0000FF"/>
          </w:rPr>
          <w:t>часть 5 статьи 49</w:t>
        </w:r>
      </w:hyperlink>
      <w:r>
        <w:t xml:space="preserve"> Закона о контрактной системе и содержат</w:t>
      </w:r>
      <w:proofErr w:type="gramEnd"/>
      <w:r>
        <w:t xml:space="preserve"> признаки административного правонарушения, ответственность за совершение которого предусмотрена </w:t>
      </w:r>
      <w:hyperlink r:id="rId51">
        <w:r>
          <w:rPr>
            <w:color w:val="0000FF"/>
          </w:rPr>
          <w:t>частью 2 статьи 7.30</w:t>
        </w:r>
      </w:hyperlink>
      <w:r>
        <w:t xml:space="preserve"> КоАП РФ.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lastRenderedPageBreak/>
        <w:t xml:space="preserve">На основании изложенного и руководствуясь </w:t>
      </w:r>
      <w:hyperlink r:id="rId52">
        <w:r>
          <w:rPr>
            <w:color w:val="0000FF"/>
          </w:rPr>
          <w:t>частью 1 статьи 2</w:t>
        </w:r>
      </w:hyperlink>
      <w:r>
        <w:t xml:space="preserve">, </w:t>
      </w:r>
      <w:hyperlink r:id="rId53">
        <w:r>
          <w:rPr>
            <w:color w:val="0000FF"/>
          </w:rPr>
          <w:t>пунктом 1 части 15 статьи 99</w:t>
        </w:r>
      </w:hyperlink>
      <w:r>
        <w:t xml:space="preserve">, </w:t>
      </w:r>
      <w:hyperlink r:id="rId54">
        <w:r>
          <w:rPr>
            <w:color w:val="0000FF"/>
          </w:rPr>
          <w:t>пункта 2 части 22 статьи 99</w:t>
        </w:r>
      </w:hyperlink>
      <w:r>
        <w:t xml:space="preserve">, </w:t>
      </w:r>
      <w:hyperlink r:id="rId55">
        <w:r>
          <w:rPr>
            <w:color w:val="0000FF"/>
          </w:rPr>
          <w:t>частью 8 статьи 106</w:t>
        </w:r>
      </w:hyperlink>
      <w:r>
        <w:t xml:space="preserve"> Закона о контрактной системе, Комиссия</w:t>
      </w:r>
    </w:p>
    <w:p w:rsidR="00014184" w:rsidRDefault="00014184">
      <w:pPr>
        <w:pStyle w:val="ConsPlusNormal"/>
        <w:jc w:val="center"/>
      </w:pPr>
    </w:p>
    <w:p w:rsidR="00014184" w:rsidRDefault="00014184">
      <w:pPr>
        <w:pStyle w:val="ConsPlusNormal"/>
        <w:jc w:val="center"/>
      </w:pPr>
      <w:r>
        <w:t>решила:</w:t>
      </w:r>
    </w:p>
    <w:p w:rsidR="00014184" w:rsidRDefault="00014184">
      <w:pPr>
        <w:pStyle w:val="ConsPlusNormal"/>
        <w:jc w:val="center"/>
      </w:pPr>
    </w:p>
    <w:p w:rsidR="00014184" w:rsidRDefault="00014184">
      <w:pPr>
        <w:pStyle w:val="ConsPlusNormal"/>
        <w:ind w:firstLine="540"/>
        <w:jc w:val="both"/>
      </w:pPr>
      <w:r>
        <w:t>1. Признать жалобу ИП Б. обоснованной.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2. Признать в </w:t>
      </w:r>
      <w:proofErr w:type="gramStart"/>
      <w:r>
        <w:t>действиях</w:t>
      </w:r>
      <w:proofErr w:type="gramEnd"/>
      <w:r>
        <w:t xml:space="preserve"> Заказчика нарушение </w:t>
      </w:r>
      <w:hyperlink r:id="rId56">
        <w:r>
          <w:rPr>
            <w:color w:val="0000FF"/>
          </w:rPr>
          <w:t>части 6 статьи 31</w:t>
        </w:r>
      </w:hyperlink>
      <w:r>
        <w:t xml:space="preserve">, </w:t>
      </w:r>
      <w:hyperlink r:id="rId57">
        <w:r>
          <w:rPr>
            <w:color w:val="0000FF"/>
          </w:rPr>
          <w:t>пункта 1 части 2 статьи 42</w:t>
        </w:r>
      </w:hyperlink>
      <w:r>
        <w:t xml:space="preserve"> Закона о контрактной системе.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3. Признать в </w:t>
      </w:r>
      <w:proofErr w:type="gramStart"/>
      <w:r>
        <w:t>действиях</w:t>
      </w:r>
      <w:proofErr w:type="gramEnd"/>
      <w:r>
        <w:t xml:space="preserve"> Комиссии по осуществлению закупок нарушение </w:t>
      </w:r>
      <w:hyperlink r:id="rId58">
        <w:r>
          <w:rPr>
            <w:color w:val="0000FF"/>
          </w:rPr>
          <w:t>пункта 1 части 5 статьи 49</w:t>
        </w:r>
      </w:hyperlink>
      <w:r>
        <w:t xml:space="preserve"> Закона о контрактной системе.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4. Выдать Заказчику, Комиссии по осуществлению закупок, Оператору электронной площадки </w:t>
      </w:r>
      <w:hyperlink r:id="rId59">
        <w:r>
          <w:rPr>
            <w:color w:val="0000FF"/>
          </w:rPr>
          <w:t>предписание</w:t>
        </w:r>
      </w:hyperlink>
      <w:r>
        <w:t xml:space="preserve"> об устранении выявленных нарушений </w:t>
      </w:r>
      <w:hyperlink r:id="rId60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>4. Передать материалы от 04.07.2022 по делу N 28/06/105-2185/2022 соответствующему должностному лицу Управления контроля размещения государственного заказа и государственного оборонного заказа ФАС России для рассмотрения вопроса о возбуждении дел об административных правонарушениях.</w:t>
      </w:r>
    </w:p>
    <w:p w:rsidR="00014184" w:rsidRDefault="00014184">
      <w:pPr>
        <w:pStyle w:val="ConsPlusNormal"/>
        <w:spacing w:before="220"/>
        <w:ind w:firstLine="540"/>
        <w:jc w:val="both"/>
      </w:pPr>
      <w:r>
        <w:t xml:space="preserve">Настоящее решение может быть обжаловано в арбитражном </w:t>
      </w:r>
      <w:proofErr w:type="gramStart"/>
      <w:r>
        <w:t>суде</w:t>
      </w:r>
      <w:proofErr w:type="gramEnd"/>
      <w:r>
        <w:t xml:space="preserve"> в течение трех месяцев в установленном законом порядке.</w:t>
      </w:r>
    </w:p>
    <w:p w:rsidR="00014184" w:rsidRDefault="00014184">
      <w:pPr>
        <w:pStyle w:val="ConsPlusNormal"/>
        <w:ind w:firstLine="540"/>
        <w:jc w:val="both"/>
      </w:pPr>
    </w:p>
    <w:p w:rsidR="00014184" w:rsidRDefault="00014184">
      <w:pPr>
        <w:pStyle w:val="ConsPlusNormal"/>
        <w:ind w:firstLine="540"/>
        <w:jc w:val="both"/>
      </w:pPr>
    </w:p>
    <w:p w:rsidR="00014184" w:rsidRDefault="0001418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1E49" w:rsidRDefault="006D1E49">
      <w:bookmarkStart w:id="0" w:name="_GoBack"/>
      <w:bookmarkEnd w:id="0"/>
    </w:p>
    <w:sectPr w:rsidR="006D1E49" w:rsidSect="00376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84"/>
    <w:rsid w:val="00014184"/>
    <w:rsid w:val="006D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41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41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1418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141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F4BC1C10BA32CCD7B079E7867D32F30AFC255FAA8BCCA4155149C23BB358B4248B12B65FA14459F2CCD645156568757789A74126D757101H6F5R" TargetMode="External"/><Relationship Id="rId18" Type="http://schemas.openxmlformats.org/officeDocument/2006/relationships/hyperlink" Target="consultantplus://offline/ref=BF4BC1C10BA32CCD7B079E7867D32F30A8CB5BF5AFB9CA4155149C23BB358B425AB17369FB10589628D8320010H0F1R" TargetMode="External"/><Relationship Id="rId26" Type="http://schemas.openxmlformats.org/officeDocument/2006/relationships/hyperlink" Target="consultantplus://offline/ref=BF4BC1C10BA32CCD7B079E7867D32F30A8CB5BF5AFB9CA4155149C23BB358B4248B12B65FA1444972CCD645156568757789A74126D757101H6F5R" TargetMode="External"/><Relationship Id="rId39" Type="http://schemas.openxmlformats.org/officeDocument/2006/relationships/hyperlink" Target="consultantplus://offline/ref=BF4BC1C10BA32CCD7B079E7867D32F30AFC255FAA8BCCA4155149C23BB358B4248B12B66FF16449C7E9774551F028E487D866B127375H7F3R" TargetMode="External"/><Relationship Id="rId21" Type="http://schemas.openxmlformats.org/officeDocument/2006/relationships/hyperlink" Target="consultantplus://offline/ref=BF4BC1C10BA32CCD7B079E7867D32F30A8CB5BF5AFB9CA4155149C23BB358B4248B12B65FA14469628CD645156568757789A74126D757101H6F5R" TargetMode="External"/><Relationship Id="rId34" Type="http://schemas.openxmlformats.org/officeDocument/2006/relationships/hyperlink" Target="consultantplus://offline/ref=BF4BC1C10BA32CCD7B079E7867D32F30A8CB5BF5AFB9CA4155149C23BB358B4248B12B65FA1446922FCD645156568757789A74126D757101H6F5R" TargetMode="External"/><Relationship Id="rId42" Type="http://schemas.openxmlformats.org/officeDocument/2006/relationships/hyperlink" Target="consultantplus://offline/ref=BF4BC1C10BA32CCD7B079E7867D32F30AFC255FAA8BCCA4155149C23BB358B4248B12B66F815409C7E9774551F028E487D866B127375H7F3R" TargetMode="External"/><Relationship Id="rId47" Type="http://schemas.openxmlformats.org/officeDocument/2006/relationships/hyperlink" Target="consultantplus://offline/ref=BF4BC1C10BA32CCD7B079E7867D32F30AFC255FAA8BCCA4155149C23BB358B4248B12B66FF16419C7E9774551F028E487D866B127375H7F3R" TargetMode="External"/><Relationship Id="rId50" Type="http://schemas.openxmlformats.org/officeDocument/2006/relationships/hyperlink" Target="consultantplus://offline/ref=BF4BC1C10BA32CCD7B079E7867D32F30AFC255FAA8BCCA4155149C23BB358B4248B12B66FF1D469C7E9774551F028E487D866B127375H7F3R" TargetMode="External"/><Relationship Id="rId55" Type="http://schemas.openxmlformats.org/officeDocument/2006/relationships/hyperlink" Target="consultantplus://offline/ref=BF4BC1C10BA32CCD7B079E7867D32F30AFC255FAA8BCCA4155149C23BB358B4248B12B67FB154E9C7E9774551F028E487D866B127375H7F3R" TargetMode="External"/><Relationship Id="rId7" Type="http://schemas.openxmlformats.org/officeDocument/2006/relationships/hyperlink" Target="consultantplus://offline/ref=BF4BC1C10BA32CCD7B079E7867D32F30A8CB5BF5AFB9CA4155149C23BB358B4248B12B65FA1446922FCD645156568757789A74126D757101H6F5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4BC1C10BA32CCD7B079E7867D32F30AFC255FAA8BCCA4155149C23BB358B4248B12B66F8154F9C7E9774551F028E487D866B127375H7F3R" TargetMode="External"/><Relationship Id="rId20" Type="http://schemas.openxmlformats.org/officeDocument/2006/relationships/hyperlink" Target="consultantplus://offline/ref=BF4BC1C10BA32CCD7B079E7867D32F30AFC255FAA8BCCA4155149C23BB358B425AB17369FB10589628D8320010H0F1R" TargetMode="External"/><Relationship Id="rId29" Type="http://schemas.openxmlformats.org/officeDocument/2006/relationships/hyperlink" Target="consultantplus://offline/ref=BF4BC1C10BA32CCD7B079E7867D32F30A8CB5BF5AFB9CA4155149C23BB358B425AB17369FB10589628D8320010H0F1R" TargetMode="External"/><Relationship Id="rId41" Type="http://schemas.openxmlformats.org/officeDocument/2006/relationships/hyperlink" Target="consultantplus://offline/ref=BF4BC1C10BA32CCD7B079E7867D32F30AFC255FAA8BCCA4155149C23BB358B4248B12B65F814479E21926144470E8B526285770E717773H0F1R" TargetMode="External"/><Relationship Id="rId54" Type="http://schemas.openxmlformats.org/officeDocument/2006/relationships/hyperlink" Target="consultantplus://offline/ref=BF4BC1C10BA32CCD7B079E7867D32F30AFC255FAA8BCCA4155149C23BB358B4248B12B65FA15429328CD645156568757789A74126D757101H6F5R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F4BC1C10BA32CCD7B079E7867D32F30AFC255FAA8BCCA4155149C23BB358B4248B12B67FA11469C7E9774551F028E487D866B127375H7F3R" TargetMode="External"/><Relationship Id="rId11" Type="http://schemas.openxmlformats.org/officeDocument/2006/relationships/hyperlink" Target="consultantplus://offline/ref=BF4BC1C10BA32CCD7B079E7867D32F30AFC255FAA8BCCA4155149C23BB358B4248B12B66F914429C7E9774551F028E487D866B127375H7F3R" TargetMode="External"/><Relationship Id="rId24" Type="http://schemas.openxmlformats.org/officeDocument/2006/relationships/hyperlink" Target="consultantplus://offline/ref=BF4BC1C10BA32CCD7B079E7867D32F30A8CB5BF5AFB9CA4155149C23BB358B4248B12B65FA1444972CCD645156568757789A74126D757101H6F5R" TargetMode="External"/><Relationship Id="rId32" Type="http://schemas.openxmlformats.org/officeDocument/2006/relationships/hyperlink" Target="consultantplus://offline/ref=BF4BC1C10BA32CCD7B079E7867D32F30A8CB5BF5AFB9CA4155149C23BB358B425AB17369FB10589628D8320010H0F1R" TargetMode="External"/><Relationship Id="rId37" Type="http://schemas.openxmlformats.org/officeDocument/2006/relationships/hyperlink" Target="consultantplus://offline/ref=BF4BC1C10BA32CCD7B079E7867D32F30A8CA5AF4A6B9CA4155149C23BB358B4248B12B60F31C4F9C7E9774551F028E487D866B127375H7F3R" TargetMode="External"/><Relationship Id="rId40" Type="http://schemas.openxmlformats.org/officeDocument/2006/relationships/hyperlink" Target="consultantplus://offline/ref=BF4BC1C10BA32CCD7B079E7867D32F30AFC255FAA8BCCA4155149C23BB358B4248B12B66F815459C7E9774551F028E487D866B127375H7F3R" TargetMode="External"/><Relationship Id="rId45" Type="http://schemas.openxmlformats.org/officeDocument/2006/relationships/hyperlink" Target="consultantplus://offline/ref=BF4BC1C10BA32CCD7B079E7867D32F30AFC255FAA8BCCA4155149C23BB358B4248B12B66FF1C4F9C7E9774551F028E487D866B127375H7F3R" TargetMode="External"/><Relationship Id="rId53" Type="http://schemas.openxmlformats.org/officeDocument/2006/relationships/hyperlink" Target="consultantplus://offline/ref=BF4BC1C10BA32CCD7B079E7867D32F30AFC255FAA8BCCA4155149C23BB358B4248B12B67FA11469C7E9774551F028E487D866B127375H7F3R" TargetMode="External"/><Relationship Id="rId58" Type="http://schemas.openxmlformats.org/officeDocument/2006/relationships/hyperlink" Target="consultantplus://offline/ref=BF4BC1C10BA32CCD7B079E7867D32F30AFC255FAA8BCCA4155149C23BB358B4248B12B66FF1D479C7E9774551F028E487D866B127375H7F3R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F4BC1C10BA32CCD7B079E7867D32F30AFC255FAA8BCCA4155149C23BB358B4248B12B66F815409C7E9774551F028E487D866B127375H7F3R" TargetMode="External"/><Relationship Id="rId23" Type="http://schemas.openxmlformats.org/officeDocument/2006/relationships/hyperlink" Target="consultantplus://offline/ref=BF4BC1C10BA32CCD7B079E7867D32F30A8CB5BF5AFB9CA4155149C23BB358B4248B12B65FA1447962DCD645156568757789A74126D757101H6F5R" TargetMode="External"/><Relationship Id="rId28" Type="http://schemas.openxmlformats.org/officeDocument/2006/relationships/hyperlink" Target="consultantplus://offline/ref=BF4BC1C10BA32CCD7B079E7867D32F30A8CB5BF5AFB9CA4155149C23BB358B4248B12B65FA1444972CCD645156568757789A74126D757101H6F5R" TargetMode="External"/><Relationship Id="rId36" Type="http://schemas.openxmlformats.org/officeDocument/2006/relationships/hyperlink" Target="consultantplus://offline/ref=BF4BC1C10BA32CCD7B079E7867D32F30AFC255FAA8BCCA4155149C23BB358B4248B12B66F914429C7E9774551F028E487D866B127375H7F3R" TargetMode="External"/><Relationship Id="rId49" Type="http://schemas.openxmlformats.org/officeDocument/2006/relationships/hyperlink" Target="consultantplus://offline/ref=BF4BC1C10BA32CCD7B079E7867D32F30A8CB5BF5AFB9CA4155149C23BB358B4248B12B65FA14479629CD645156568757789A74126D757101H6F5R" TargetMode="External"/><Relationship Id="rId57" Type="http://schemas.openxmlformats.org/officeDocument/2006/relationships/hyperlink" Target="consultantplus://offline/ref=BF4BC1C10BA32CCD7B079E7867D32F30AFC255FAA8BCCA4155149C23BB358B4248B12B66F914429C7E9774551F028E487D866B127375H7F3R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BF4BC1C10BA32CCD7B079E7867D32F30A8CB5BF5AFB9CA4155149C23BB358B4248B12B65FA1446922FCD645156568757789A74126D757101H6F5R" TargetMode="External"/><Relationship Id="rId19" Type="http://schemas.openxmlformats.org/officeDocument/2006/relationships/hyperlink" Target="consultantplus://offline/ref=BF4BC1C10BA32CCD7B079E7867D32F30AFC255FAA8BCCA4155149C23BB358B4248B12B65FA14459228CD645156568757789A74126D757101H6F5R" TargetMode="External"/><Relationship Id="rId31" Type="http://schemas.openxmlformats.org/officeDocument/2006/relationships/hyperlink" Target="consultantplus://offline/ref=BF4BC1C10BA32CCD7B079E7867D32F30A8CB5BF5AFB9CA4155149C23BB358B4248B12B65FA1444972CCD645156568757789A74126D757101H6F5R" TargetMode="External"/><Relationship Id="rId44" Type="http://schemas.openxmlformats.org/officeDocument/2006/relationships/hyperlink" Target="consultantplus://offline/ref=BF4BC1C10BA32CCD7B079E7867D32F30AFC255FAA8BCCA4155149C23BB358B4248B12B66FF1D449C7E9774551F028E487D866B127375H7F3R" TargetMode="External"/><Relationship Id="rId52" Type="http://schemas.openxmlformats.org/officeDocument/2006/relationships/hyperlink" Target="consultantplus://offline/ref=BF4BC1C10BA32CCD7B079E7867D32F30AFC255FAA8BCCA4155149C23BB358B4248B12B65FA14469529CD645156568757789A74126D757101H6F5R" TargetMode="External"/><Relationship Id="rId60" Type="http://schemas.openxmlformats.org/officeDocument/2006/relationships/hyperlink" Target="consultantplus://offline/ref=BF4BC1C10BA32CCD7B079E7867D32F30AFC255FAA8BCCA4155149C23BB358B425AB17369FB10589628D8320010H0F1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4BC1C10BA32CCD7B079E7867D32F30AFC255FAA8BCCA4155149C23BB358B425AB17369FB10589628D8320010H0F1R" TargetMode="External"/><Relationship Id="rId14" Type="http://schemas.openxmlformats.org/officeDocument/2006/relationships/hyperlink" Target="consultantplus://offline/ref=BF4BC1C10BA32CCD7B079E7867D32F30AFC255FAA8BCCA4155149C23BB358B4248B12B67F9114DC37B82650D130794577E9A771071H7F5R" TargetMode="External"/><Relationship Id="rId22" Type="http://schemas.openxmlformats.org/officeDocument/2006/relationships/hyperlink" Target="consultantplus://offline/ref=BF4BC1C10BA32CCD7B079E7867D32F30A8CB5BF5AFB9CA4155149C23BB358B4248B12B65FA14479629CD645156568757789A74126D757101H6F5R" TargetMode="External"/><Relationship Id="rId27" Type="http://schemas.openxmlformats.org/officeDocument/2006/relationships/hyperlink" Target="consultantplus://offline/ref=BF4BC1C10BA32CCD7B079E7867D32F30A8CB5BF5AFB9CA4155149C23BB358B4248B12B65FA14479629CD645156568757789A74126D757101H6F5R" TargetMode="External"/><Relationship Id="rId30" Type="http://schemas.openxmlformats.org/officeDocument/2006/relationships/hyperlink" Target="consultantplus://offline/ref=BF4BC1C10BA32CCD7B079E7867D32F30A8CB5BF5AFB9CA4155149C23BB358B4248B12B65FA14479629CD645156568757789A74126D757101H6F5R" TargetMode="External"/><Relationship Id="rId35" Type="http://schemas.openxmlformats.org/officeDocument/2006/relationships/hyperlink" Target="consultantplus://offline/ref=BF4BC1C10BA32CCD7B079E7867D32F30AFC255FAA8BCCA4155149C23BB358B4248B12B65FA14459228CD645156568757789A74126D757101H6F5R" TargetMode="External"/><Relationship Id="rId43" Type="http://schemas.openxmlformats.org/officeDocument/2006/relationships/hyperlink" Target="consultantplus://offline/ref=BF4BC1C10BA32CCD7B079E7867D32F30AFC255FAA8BCCA4155149C23BB358B4248B12B66F815419C7E9774551F028E487D866B127375H7F3R" TargetMode="External"/><Relationship Id="rId48" Type="http://schemas.openxmlformats.org/officeDocument/2006/relationships/hyperlink" Target="consultantplus://offline/ref=BF4BC1C10BA32CCD7B079E7867D32F30AFC255FAA8BCCA4155149C23BB358B4248B12B66FF16449C7E9774551F028E487D866B127375H7F3R" TargetMode="External"/><Relationship Id="rId56" Type="http://schemas.openxmlformats.org/officeDocument/2006/relationships/hyperlink" Target="consultantplus://offline/ref=BF4BC1C10BA32CCD7B079E7867D32F30AFC255FAA8BCCA4155149C23BB358B4248B12B65FA14459228CD645156568757789A74126D757101H6F5R" TargetMode="External"/><Relationship Id="rId8" Type="http://schemas.openxmlformats.org/officeDocument/2006/relationships/hyperlink" Target="consultantplus://offline/ref=BF4BC1C10BA32CCD7B079E7867D32F30AFC255FAA8BCCA4155149C23BB358B4248B12B67FA11469C7E9774551F028E487D866B127375H7F3R" TargetMode="External"/><Relationship Id="rId51" Type="http://schemas.openxmlformats.org/officeDocument/2006/relationships/hyperlink" Target="consultantplus://offline/ref=BF4BC1C10BA32CCD7B079E7867D32F30A8CA5AF4A6B9CA4155149C23BB358B4248B12B60F31C459C7E9774551F028E487D866B127375H7F3R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F4BC1C10BA32CCD7B079E7867D32F30AFC255FAA8BCCA4155149C23BB358B425AB17369FB10589628D8320010H0F1R" TargetMode="External"/><Relationship Id="rId17" Type="http://schemas.openxmlformats.org/officeDocument/2006/relationships/hyperlink" Target="consultantplus://offline/ref=BF4BC1C10BA32CCD7B079E7867D32F30AFC255FAA8BCCA4155149C23BB358B4248B12B66F815409C7E9774551F028E487D866B127375H7F3R" TargetMode="External"/><Relationship Id="rId25" Type="http://schemas.openxmlformats.org/officeDocument/2006/relationships/hyperlink" Target="consultantplus://offline/ref=BF4BC1C10BA32CCD7B079E7867D32F30A8CB5BF5AFB9CA4155149C23BB358B4248B12B65FA14479629CD645156568757789A74126D757101H6F5R" TargetMode="External"/><Relationship Id="rId33" Type="http://schemas.openxmlformats.org/officeDocument/2006/relationships/hyperlink" Target="consultantplus://offline/ref=BF4BC1C10BA32CCD7B079E7867D32F30A8CB5BF5AFB9CA4155149C23BB358B4248B12B65FA1446922FCD645156568757789A74126D757101H6F5R" TargetMode="External"/><Relationship Id="rId38" Type="http://schemas.openxmlformats.org/officeDocument/2006/relationships/hyperlink" Target="consultantplus://offline/ref=BF4BC1C10BA32CCD7B079E7867D32F30A8CA5AF4A6B9CA4155149C23BB358B4248B12B60F31D479C7E9774551F028E487D866B127375H7F3R" TargetMode="External"/><Relationship Id="rId46" Type="http://schemas.openxmlformats.org/officeDocument/2006/relationships/hyperlink" Target="consultantplus://offline/ref=BF4BC1C10BA32CCD7B079E7867D32F30AFC255FAA8BCCA4155149C23BB358B4248B12B66FF16469C7E9774551F028E487D866B127375H7F3R" TargetMode="External"/><Relationship Id="rId59" Type="http://schemas.openxmlformats.org/officeDocument/2006/relationships/hyperlink" Target="consultantplus://offline/ref=BF4BC1C10BA32CCD7B07807E63BB7A63A1CC5AF2AEBCCA4155149C23BB358B425AB17369FB10589628D8320010H0F1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3415</Words>
  <Characters>19469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Искандер Гимадиевич</dc:creator>
  <cp:lastModifiedBy>Багаутдинов Искандер Гимадиевич</cp:lastModifiedBy>
  <cp:revision>1</cp:revision>
  <dcterms:created xsi:type="dcterms:W3CDTF">2022-12-14T17:05:00Z</dcterms:created>
  <dcterms:modified xsi:type="dcterms:W3CDTF">2022-12-14T17:05:00Z</dcterms:modified>
</cp:coreProperties>
</file>