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0F" w:rsidRDefault="00484E0F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84E0F" w:rsidRDefault="00484E0F">
      <w:pPr>
        <w:pStyle w:val="ConsPlusNormal"/>
        <w:ind w:firstLine="540"/>
        <w:jc w:val="both"/>
        <w:outlineLvl w:val="0"/>
      </w:pPr>
    </w:p>
    <w:p w:rsidR="00484E0F" w:rsidRPr="0043273E" w:rsidRDefault="00484E0F">
      <w:pPr>
        <w:pStyle w:val="ConsPlusTitle"/>
        <w:jc w:val="center"/>
      </w:pPr>
      <w:r w:rsidRPr="0043273E">
        <w:t>ФЕДЕРАЛЬНАЯ АНТИМОНОПОЛЬНАЯ СЛУЖБА</w:t>
      </w:r>
    </w:p>
    <w:p w:rsidR="00484E0F" w:rsidRPr="0043273E" w:rsidRDefault="00484E0F">
      <w:pPr>
        <w:pStyle w:val="ConsPlusTitle"/>
        <w:jc w:val="center"/>
      </w:pPr>
    </w:p>
    <w:p w:rsidR="00484E0F" w:rsidRPr="0043273E" w:rsidRDefault="00484E0F">
      <w:pPr>
        <w:pStyle w:val="ConsPlusTitle"/>
        <w:jc w:val="center"/>
      </w:pPr>
      <w:r w:rsidRPr="0043273E">
        <w:t>РЕШЕНИЕ</w:t>
      </w:r>
    </w:p>
    <w:p w:rsidR="00484E0F" w:rsidRPr="0043273E" w:rsidRDefault="00484E0F">
      <w:pPr>
        <w:pStyle w:val="ConsPlusTitle"/>
        <w:jc w:val="center"/>
      </w:pPr>
      <w:r w:rsidRPr="0043273E">
        <w:t>от 16 февраля 2022 г. по делу N 28/06/105-299/2022</w:t>
      </w:r>
    </w:p>
    <w:p w:rsidR="00484E0F" w:rsidRPr="0043273E" w:rsidRDefault="00484E0F">
      <w:pPr>
        <w:pStyle w:val="ConsPlusTitle"/>
        <w:jc w:val="center"/>
      </w:pPr>
    </w:p>
    <w:p w:rsidR="00484E0F" w:rsidRPr="0043273E" w:rsidRDefault="00484E0F">
      <w:pPr>
        <w:pStyle w:val="ConsPlusTitle"/>
        <w:jc w:val="center"/>
      </w:pPr>
      <w:r w:rsidRPr="0043273E">
        <w:t>О НАРУШЕНИИ ЗАКОНОДАТЕЛЬСТВА РОССИЙСКОЙ ФЕДЕРАЦИИ</w:t>
      </w:r>
    </w:p>
    <w:p w:rsidR="00484E0F" w:rsidRPr="0043273E" w:rsidRDefault="00484E0F">
      <w:pPr>
        <w:pStyle w:val="ConsPlusTitle"/>
        <w:jc w:val="center"/>
      </w:pPr>
      <w:r w:rsidRPr="0043273E">
        <w:t>О КОНТРАКТНОЙ СИСТЕМЕ В СФЕРЕ ЗАКУПОК</w:t>
      </w:r>
    </w:p>
    <w:p w:rsidR="00484E0F" w:rsidRPr="0043273E" w:rsidRDefault="00484E0F">
      <w:pPr>
        <w:pStyle w:val="ConsPlusNormal"/>
        <w:ind w:firstLine="540"/>
        <w:jc w:val="both"/>
      </w:pPr>
    </w:p>
    <w:p w:rsidR="00484E0F" w:rsidRPr="0043273E" w:rsidRDefault="00484E0F">
      <w:pPr>
        <w:pStyle w:val="ConsPlusNormal"/>
        <w:ind w:firstLine="540"/>
        <w:jc w:val="both"/>
      </w:pPr>
      <w:r w:rsidRPr="0043273E">
        <w:t>Комиссия Федеральной антимонопольной службы по контролю в сфере закупок (далее - Комиссия)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>рассмотрев посредством системы видеоконференц-связи жалоб</w:t>
      </w:r>
      <w:proofErr w:type="gramStart"/>
      <w:r w:rsidRPr="0043273E">
        <w:t>у ООО</w:t>
      </w:r>
      <w:proofErr w:type="gramEnd"/>
      <w:r w:rsidRPr="0043273E">
        <w:t xml:space="preserve"> "ДА" (далее - Заявитель) на действия АО "К" (далее - Заказчик) при проведении Заказчиком, АО "Э" (далее - Оператор электронной площадки) открытого конкурса в электронной форме на право заключения государственного контракта на поставку комплектов технологического оборудования канатных дорог по объектам: "Разработка ПСД объектов всесезонного туристско-рекреационного комплекса "</w:t>
      </w:r>
      <w:proofErr w:type="spellStart"/>
      <w:r w:rsidRPr="0043273E">
        <w:t>Мамисон</w:t>
      </w:r>
      <w:proofErr w:type="spellEnd"/>
      <w:r w:rsidRPr="0043273E">
        <w:t xml:space="preserve">" (поселок </w:t>
      </w:r>
      <w:proofErr w:type="spellStart"/>
      <w:r w:rsidRPr="0043273E">
        <w:t>Калак</w:t>
      </w:r>
      <w:proofErr w:type="spellEnd"/>
      <w:r w:rsidRPr="0043273E">
        <w:t>, Этап 1) Пассажирская подвесная канатная дорога Мамисон-1" и "Разработка ПСД объектов всесезонного туристско-рекреационного комплекса "</w:t>
      </w:r>
      <w:proofErr w:type="spellStart"/>
      <w:r w:rsidRPr="0043273E">
        <w:t>Мамисон</w:t>
      </w:r>
      <w:proofErr w:type="spellEnd"/>
      <w:r w:rsidRPr="0043273E">
        <w:t xml:space="preserve">" (поселок </w:t>
      </w:r>
      <w:proofErr w:type="spellStart"/>
      <w:r w:rsidRPr="0043273E">
        <w:t>Калак</w:t>
      </w:r>
      <w:proofErr w:type="spellEnd"/>
      <w:r w:rsidRPr="0043273E">
        <w:t xml:space="preserve">, Этап 1) Пассажирская подвесная канатная дорога Мамисон-2" (номер извещения в единой информационной системе в сфере закупок www.zakupki.gov.ru (далее - ЕИС) - 1200700009022000001) (далее - Конкурс), и в результате осуществления внеплановой проверки в соответствии с </w:t>
      </w:r>
      <w:hyperlink r:id="rId6">
        <w:r w:rsidRPr="0043273E">
          <w:rPr>
            <w:color w:val="0000FF"/>
          </w:rPr>
          <w:t>пунктом 1 части 15 статьи 99</w:t>
        </w:r>
      </w:hyperlink>
      <w:r w:rsidRPr="0043273E"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</w:t>
      </w:r>
    </w:p>
    <w:p w:rsidR="00484E0F" w:rsidRPr="0043273E" w:rsidRDefault="00484E0F">
      <w:pPr>
        <w:pStyle w:val="ConsPlusNormal"/>
        <w:jc w:val="center"/>
      </w:pPr>
    </w:p>
    <w:p w:rsidR="00484E0F" w:rsidRPr="0043273E" w:rsidRDefault="00484E0F">
      <w:pPr>
        <w:pStyle w:val="ConsPlusNormal"/>
        <w:jc w:val="center"/>
      </w:pPr>
      <w:r w:rsidRPr="0043273E">
        <w:t>установила:</w:t>
      </w:r>
    </w:p>
    <w:p w:rsidR="00484E0F" w:rsidRPr="0043273E" w:rsidRDefault="00484E0F">
      <w:pPr>
        <w:pStyle w:val="ConsPlusNormal"/>
        <w:jc w:val="center"/>
      </w:pPr>
    </w:p>
    <w:p w:rsidR="00484E0F" w:rsidRPr="0043273E" w:rsidRDefault="00484E0F">
      <w:pPr>
        <w:pStyle w:val="ConsPlusNormal"/>
        <w:ind w:firstLine="540"/>
        <w:jc w:val="both"/>
      </w:pPr>
      <w:r w:rsidRPr="0043273E">
        <w:t xml:space="preserve">В Федеральную антимонопольную службу поступила жалоба Заявителя на действия Заказчика при </w:t>
      </w:r>
      <w:proofErr w:type="gramStart"/>
      <w:r w:rsidRPr="0043273E">
        <w:t>проведении</w:t>
      </w:r>
      <w:proofErr w:type="gramEnd"/>
      <w:r w:rsidRPr="0043273E">
        <w:t xml:space="preserve"> Заказчиком, Оператором электронной площадки Конкурса.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proofErr w:type="gramStart"/>
      <w:r w:rsidRPr="0043273E">
        <w:t>По мнению Заявителя, его права и законные интересы нарушены действиями Заказчика, ненадлежащим образом установившего в извещении о проведении Конкурса порядок оценки заявок участников закупки по детализирующему показателю "Общая цена исполненных участником закупки договоров" (далее - Детализирующий показатель) показателя "Наличие у участников закупки опыта работы, связанного с предметом контракта" критерия "Квалификация участников закупки, в том числе наличие у них финансовых ресурсов, оборудования</w:t>
      </w:r>
      <w:proofErr w:type="gramEnd"/>
      <w:r w:rsidRPr="0043273E">
        <w:t xml:space="preserve"> и других материальных ресурсов на праве 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квалификации" (далее - Критерий).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Представители Заказчика на заседании Комиссии не </w:t>
      </w:r>
      <w:proofErr w:type="gramStart"/>
      <w:r w:rsidRPr="0043273E">
        <w:t>согласились с доводом Заявителя и сообщили</w:t>
      </w:r>
      <w:proofErr w:type="gramEnd"/>
      <w:r w:rsidRPr="0043273E">
        <w:t xml:space="preserve">, что при проведении Конкурса Заказчик действовал в соответствии с </w:t>
      </w:r>
      <w:hyperlink r:id="rId7">
        <w:r w:rsidRPr="0043273E">
          <w:rPr>
            <w:color w:val="0000FF"/>
          </w:rPr>
          <w:t>Законом</w:t>
        </w:r>
      </w:hyperlink>
      <w:r w:rsidRPr="0043273E">
        <w:t xml:space="preserve"> о контрактной системе.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>В ходе рассмотрения жалобы Заявителя на действия Заказчика 14.02.2022 Комиссией в целях полного и всестороннего рассмотрения жалобы в заседании Комиссии объявлен перерыв, заседание продолжилось 16.02.2022.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В результате рассмотрения жалобы и осуществления в соответствии с </w:t>
      </w:r>
      <w:hyperlink r:id="rId8">
        <w:r w:rsidRPr="0043273E">
          <w:rPr>
            <w:color w:val="0000FF"/>
          </w:rPr>
          <w:t>пунктом 1 части 15 статьи 99</w:t>
        </w:r>
      </w:hyperlink>
      <w:r w:rsidRPr="0043273E">
        <w:t xml:space="preserve"> Закона о контрактной системе внеплановой проверки Комиссия установила следующее.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>В соответствии с извещением о проведении Конкурса, протоколами, составленными в ходе проведения Конкурса: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>1) извещение о проведении Конкурса размещено в ЕИС - 21.01.2022;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lastRenderedPageBreak/>
        <w:t>2) способ определения поставщика (подрядчика, исполнителя) - открытый конкурс в электронной форме;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>3) начальная (максимальная) цена контракта (далее - НМЦК) - 2 503 702 720 рублей;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>4) источник финансирования - федеральный бюджет, КБК - 13904123580662260451;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5) дата окончания подачи заявок на участие в </w:t>
      </w:r>
      <w:proofErr w:type="gramStart"/>
      <w:r w:rsidRPr="0043273E">
        <w:t>Конкурсе</w:t>
      </w:r>
      <w:proofErr w:type="gramEnd"/>
      <w:r w:rsidRPr="0043273E">
        <w:t xml:space="preserve"> - 08.02.2022;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6) на участие в </w:t>
      </w:r>
      <w:proofErr w:type="gramStart"/>
      <w:r w:rsidRPr="0043273E">
        <w:t>Конкурсе</w:t>
      </w:r>
      <w:proofErr w:type="gramEnd"/>
      <w:r w:rsidRPr="0043273E">
        <w:t xml:space="preserve"> подано 2 заявки от участников закупки;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>7) дата окончания срока рассмотрения и оценки вторых частей заявок - 10.02.2022;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8) в </w:t>
      </w:r>
      <w:proofErr w:type="gramStart"/>
      <w:r w:rsidRPr="0043273E">
        <w:t>результате</w:t>
      </w:r>
      <w:proofErr w:type="gramEnd"/>
      <w:r w:rsidRPr="0043273E">
        <w:t xml:space="preserve"> рассмотрения вторых частей заявок 2 участника признаны соответствующими требованиям </w:t>
      </w:r>
      <w:hyperlink r:id="rId9">
        <w:r w:rsidRPr="0043273E">
          <w:rPr>
            <w:color w:val="0000FF"/>
          </w:rPr>
          <w:t>Закона</w:t>
        </w:r>
      </w:hyperlink>
      <w:r w:rsidRPr="0043273E">
        <w:t xml:space="preserve"> о контрактной системе;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>9) победителем Конкурса признан</w:t>
      </w:r>
      <w:proofErr w:type="gramStart"/>
      <w:r w:rsidRPr="0043273E">
        <w:t>о ООО</w:t>
      </w:r>
      <w:proofErr w:type="gramEnd"/>
      <w:r w:rsidRPr="0043273E">
        <w:t xml:space="preserve"> "ДБ" с предложением о цене контракта в размере 2 485 000 000 рублей.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1. По мнению Заявителя, Заказчиком в </w:t>
      </w:r>
      <w:proofErr w:type="gramStart"/>
      <w:r w:rsidRPr="0043273E">
        <w:t>извещении</w:t>
      </w:r>
      <w:proofErr w:type="gramEnd"/>
      <w:r w:rsidRPr="0043273E">
        <w:t xml:space="preserve"> о проведении Конкурса ненадлежащим образом установлен порядок оценки заявок участников закупки по Детализирующему показателю Критерия.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proofErr w:type="gramStart"/>
      <w:r w:rsidRPr="0043273E">
        <w:t xml:space="preserve">В силу </w:t>
      </w:r>
      <w:hyperlink r:id="rId10">
        <w:r w:rsidRPr="0043273E">
          <w:rPr>
            <w:color w:val="0000FF"/>
          </w:rPr>
          <w:t>пункта 11 части 1 статьи 42</w:t>
        </w:r>
      </w:hyperlink>
      <w:r w:rsidRPr="0043273E">
        <w:t xml:space="preserve"> Закона о контрактной системе при осуществлении закупки путем проведения открытых конкурентных способов заказчик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извещение об осуществлении закупки, содержащее критерии оценки заявок на участие в конкурсах, величины значимости этих критериев</w:t>
      </w:r>
      <w:proofErr w:type="gramEnd"/>
      <w:r w:rsidRPr="0043273E">
        <w:t xml:space="preserve"> в </w:t>
      </w:r>
      <w:proofErr w:type="gramStart"/>
      <w:r w:rsidRPr="0043273E">
        <w:t>соответствии</w:t>
      </w:r>
      <w:proofErr w:type="gramEnd"/>
      <w:r w:rsidRPr="0043273E">
        <w:t xml:space="preserve"> с </w:t>
      </w:r>
      <w:hyperlink r:id="rId11">
        <w:r w:rsidRPr="0043273E">
          <w:rPr>
            <w:color w:val="0000FF"/>
          </w:rPr>
          <w:t>Законом</w:t>
        </w:r>
      </w:hyperlink>
      <w:r w:rsidRPr="0043273E">
        <w:t xml:space="preserve"> о контрактной системе.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proofErr w:type="gramStart"/>
      <w:r w:rsidRPr="0043273E">
        <w:t xml:space="preserve">Согласно </w:t>
      </w:r>
      <w:hyperlink r:id="rId12">
        <w:r w:rsidRPr="0043273E">
          <w:rPr>
            <w:color w:val="0000FF"/>
          </w:rPr>
          <w:t>части 8 статьи 32</w:t>
        </w:r>
      </w:hyperlink>
      <w:r w:rsidRPr="0043273E">
        <w:t xml:space="preserve"> Закона о контрактной системе установлено, что порядок оценки заявок участников закупки, в том числе предельные величины значимости каждого критерия, устанавливаются </w:t>
      </w:r>
      <w:hyperlink r:id="rId13">
        <w:r w:rsidRPr="0043273E">
          <w:rPr>
            <w:color w:val="0000FF"/>
          </w:rPr>
          <w:t>положением</w:t>
        </w:r>
      </w:hyperlink>
      <w:r w:rsidRPr="0043273E">
        <w:t xml:space="preserve"> об оценке заявок на участие в закупке товаров, работ, услуг для обеспечения государственных и муниципальных нужд, утвержденным постановлением Правительства Российской Федерации от 31.12.2021 N 2604 "Об оценке заявок на участие в закупке товаров, работ</w:t>
      </w:r>
      <w:proofErr w:type="gramEnd"/>
      <w:r w:rsidRPr="0043273E">
        <w:t xml:space="preserve">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 2021 г. N 2369 и признании </w:t>
      </w:r>
      <w:proofErr w:type="gramStart"/>
      <w:r w:rsidRPr="0043273E">
        <w:t>утратившими</w:t>
      </w:r>
      <w:proofErr w:type="gramEnd"/>
      <w:r w:rsidRPr="0043273E">
        <w:t xml:space="preserve"> силу некоторых актов и отдельных положений некоторых актов Правительства Российской Федерации" (далее - Положение).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Согласно </w:t>
      </w:r>
      <w:hyperlink r:id="rId14">
        <w:r w:rsidRPr="0043273E">
          <w:rPr>
            <w:color w:val="0000FF"/>
          </w:rPr>
          <w:t>пункту 2</w:t>
        </w:r>
      </w:hyperlink>
      <w:r w:rsidRPr="0043273E">
        <w:t xml:space="preserve"> Положения "оценка заявок" - действия членов комиссии по осуществлению закупок по присвоению в случаях, предусмотренных </w:t>
      </w:r>
      <w:hyperlink r:id="rId15">
        <w:r w:rsidRPr="0043273E">
          <w:rPr>
            <w:color w:val="0000FF"/>
          </w:rPr>
          <w:t>Законом</w:t>
        </w:r>
      </w:hyperlink>
      <w:r w:rsidRPr="0043273E">
        <w:t xml:space="preserve"> о контрактной системе, и в соответствии с </w:t>
      </w:r>
      <w:hyperlink r:id="rId16">
        <w:r w:rsidRPr="0043273E">
          <w:rPr>
            <w:color w:val="0000FF"/>
          </w:rPr>
          <w:t>Положением</w:t>
        </w:r>
      </w:hyperlink>
      <w:r w:rsidRPr="0043273E">
        <w:t xml:space="preserve"> баллов заявкам (частям заявок) на основании информации и документов участников закупок.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В соответствии с </w:t>
      </w:r>
      <w:hyperlink r:id="rId17">
        <w:r w:rsidRPr="0043273E">
          <w:rPr>
            <w:color w:val="0000FF"/>
          </w:rPr>
          <w:t>пунктом 8</w:t>
        </w:r>
      </w:hyperlink>
      <w:r w:rsidRPr="0043273E">
        <w:t xml:space="preserve"> Положения в случае применения показателей оценки по критериям оценки, предусмотренным, в том числе </w:t>
      </w:r>
      <w:hyperlink r:id="rId18">
        <w:r w:rsidRPr="0043273E">
          <w:rPr>
            <w:color w:val="0000FF"/>
          </w:rPr>
          <w:t>подпунктом "г" пункта 3</w:t>
        </w:r>
      </w:hyperlink>
      <w:r w:rsidRPr="0043273E">
        <w:t xml:space="preserve"> Положения: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>а) применяются детализирующие показатели;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б) в </w:t>
      </w:r>
      <w:proofErr w:type="gramStart"/>
      <w:r w:rsidRPr="0043273E">
        <w:t>отношении</w:t>
      </w:r>
      <w:proofErr w:type="gramEnd"/>
      <w:r w:rsidRPr="0043273E">
        <w:t xml:space="preserve"> каждого детализирующего показателя устанавливается значимость детализирующего показателя. Сумма величин значимости всех применяемых детализирующих показателей по показателю оценки составляет 100 процентов;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в) оценка заявки (части заявки) по показателю оценки определяется путем суммирования среднего количества баллов, присвоенных всеми принимавшими участие в ее рассмотрении и оценке членами комиссии по осуществлению закупок по каждому детализирующему показателю, умноженного на значимость соответствующего детализирующего показателя. При этом среднее количество баллов определяется путем суммирования количества баллов, присвоенных каждым </w:t>
      </w:r>
      <w:r w:rsidRPr="0043273E">
        <w:lastRenderedPageBreak/>
        <w:t>членом комиссии по осуществлению закупок, и последующего деления на количество таких членов.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hyperlink r:id="rId19">
        <w:r w:rsidRPr="0043273E">
          <w:rPr>
            <w:color w:val="0000FF"/>
          </w:rPr>
          <w:t>Подпунктом "в" пункта 24</w:t>
        </w:r>
      </w:hyperlink>
      <w:r w:rsidRPr="0043273E">
        <w:t xml:space="preserve"> Положения установлено, что для оценки заявок по критерию оценки "квалификация участников закупки" применяется, если иное не предусмотрено </w:t>
      </w:r>
      <w:hyperlink r:id="rId20">
        <w:r w:rsidRPr="0043273E">
          <w:rPr>
            <w:color w:val="0000FF"/>
          </w:rPr>
          <w:t>Положением</w:t>
        </w:r>
      </w:hyperlink>
      <w:r w:rsidRPr="0043273E">
        <w:t>, следующий показатель оценки, а именно наличие у участников закупки опыта поставки товара, выполнения работы, оказания услуги, связанного с предметом контракта.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В силу </w:t>
      </w:r>
      <w:hyperlink r:id="rId21">
        <w:r w:rsidRPr="0043273E">
          <w:rPr>
            <w:color w:val="0000FF"/>
          </w:rPr>
          <w:t>пункта 28</w:t>
        </w:r>
      </w:hyperlink>
      <w:r w:rsidRPr="0043273E">
        <w:t xml:space="preserve"> Положения в </w:t>
      </w:r>
      <w:proofErr w:type="gramStart"/>
      <w:r w:rsidRPr="0043273E">
        <w:t>случае</w:t>
      </w:r>
      <w:proofErr w:type="gramEnd"/>
      <w:r w:rsidRPr="0043273E">
        <w:t xml:space="preserve"> применения показателя оценки, предусмотренного </w:t>
      </w:r>
      <w:hyperlink r:id="rId22">
        <w:r w:rsidRPr="0043273E">
          <w:rPr>
            <w:color w:val="0000FF"/>
          </w:rPr>
          <w:t>подпунктом "в" пункта 24</w:t>
        </w:r>
      </w:hyperlink>
      <w:r w:rsidRPr="0043273E">
        <w:t xml:space="preserve"> Положения: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>а) применяются один или несколько из следующих детализирующих показателей оценки: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>- общая цена исполненных участником закупки договоров;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>- общее количество исполненных участником закупки договоров;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>- наибольшая цена одного из исполненных участником закупки договоров;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б) оценка заявок по детализирующим показателям, предусмотренным </w:t>
      </w:r>
      <w:hyperlink r:id="rId23">
        <w:r w:rsidRPr="0043273E">
          <w:rPr>
            <w:color w:val="0000FF"/>
          </w:rPr>
          <w:t>подпунктом "а" пункта 28</w:t>
        </w:r>
      </w:hyperlink>
      <w:r w:rsidRPr="0043273E">
        <w:t xml:space="preserve"> Положения, осуществляется в порядке, установленном </w:t>
      </w:r>
      <w:hyperlink r:id="rId24">
        <w:r w:rsidRPr="0043273E">
          <w:rPr>
            <w:color w:val="0000FF"/>
          </w:rPr>
          <w:t>пунктом 20</w:t>
        </w:r>
      </w:hyperlink>
      <w:r w:rsidRPr="0043273E">
        <w:t xml:space="preserve"> Положения.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1.1 Согласно доводу Заявителя, Заказчиком в </w:t>
      </w:r>
      <w:proofErr w:type="gramStart"/>
      <w:r w:rsidRPr="0043273E">
        <w:t>порядке</w:t>
      </w:r>
      <w:proofErr w:type="gramEnd"/>
      <w:r w:rsidRPr="0043273E">
        <w:t xml:space="preserve"> оценки по Детализирующему показателю Критерия неправомерно установлено требование о предоставлении опыта выполнения работ, связанного непосредственно с объектом закупки, а именно договоров на поставку оборудования канатных дорог гондольного и (или) кресельного (с отцепляемыми зажимами) типа.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>В соответствии с порядком оценки заявок, установленном в извещении о проведении Конкурса, Критерий содержит Детализирующий показатель, согласно которому оценивается общая цена исполненных участником закупки договоров на поставку оборудования канатных дорог гондольного и (или) кресельного (с отцепляемыми зажимами) типа на территории Российской Федерации в части цены поставки оборудования канатных дорог.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proofErr w:type="gramStart"/>
      <w:r w:rsidRPr="0043273E">
        <w:t xml:space="preserve">На заседании Комиссии представители Заказчика пояснили, что подвесные канатные дороги (далее - ПКД) с кольцевым движением и отцепляемыми зажимами на станциях имеют существенные различия с ПКД с кольцевым движением и </w:t>
      </w:r>
      <w:proofErr w:type="spellStart"/>
      <w:r w:rsidRPr="0043273E">
        <w:t>неотцепляемыми</w:t>
      </w:r>
      <w:proofErr w:type="spellEnd"/>
      <w:r w:rsidRPr="0043273E">
        <w:t xml:space="preserve"> зажимами в части типов применяемого технологического оборудования, его комплектующих подсистем, а также систем безопасности и управления, что накладывает специальные требования в части установки, монтажа данного оборудования.</w:t>
      </w:r>
      <w:proofErr w:type="gramEnd"/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При этом Комиссия, изучив порядок оценки в части требования о предоставления опыта выполнения работ, связанного с объектом закупки, приходит к выводу, что действия Заказчика не противоречат </w:t>
      </w:r>
      <w:hyperlink r:id="rId25">
        <w:r w:rsidRPr="0043273E">
          <w:rPr>
            <w:color w:val="0000FF"/>
          </w:rPr>
          <w:t>Положению</w:t>
        </w:r>
      </w:hyperlink>
      <w:r w:rsidRPr="0043273E">
        <w:t xml:space="preserve"> и </w:t>
      </w:r>
      <w:hyperlink r:id="rId26">
        <w:r w:rsidRPr="0043273E">
          <w:rPr>
            <w:color w:val="0000FF"/>
          </w:rPr>
          <w:t>Закону</w:t>
        </w:r>
      </w:hyperlink>
      <w:r w:rsidRPr="0043273E">
        <w:t xml:space="preserve"> о контрактной системе.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1.2 Согласно доводу Заявителя, Заказчиком в </w:t>
      </w:r>
      <w:proofErr w:type="gramStart"/>
      <w:r w:rsidRPr="0043273E">
        <w:t>порядке</w:t>
      </w:r>
      <w:proofErr w:type="gramEnd"/>
      <w:r w:rsidRPr="0043273E">
        <w:t xml:space="preserve"> оценки по Детализирующему показателю Критерия неправомерно установлено предельное максимальное значение характеристики объекта закупки в размере 1 251 851 360 рублей.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В соответствии с </w:t>
      </w:r>
      <w:hyperlink r:id="rId27">
        <w:r w:rsidRPr="0043273E">
          <w:rPr>
            <w:color w:val="0000FF"/>
          </w:rPr>
          <w:t>пунктом 20</w:t>
        </w:r>
      </w:hyperlink>
      <w:r w:rsidRPr="0043273E">
        <w:t xml:space="preserve"> </w:t>
      </w:r>
      <w:proofErr w:type="gramStart"/>
      <w:r w:rsidRPr="0043273E">
        <w:t>Положения</w:t>
      </w:r>
      <w:proofErr w:type="gramEnd"/>
      <w:r w:rsidRPr="0043273E">
        <w:t xml:space="preserve"> если значение характеристики объекта закупки, определенной количественным значением, находится в функциональной зависимости от значения количества присваиваемых баллов, значение количества баллов по детализирующему показателю, присваиваемых заявке, подлежащей в соответствии с </w:t>
      </w:r>
      <w:hyperlink r:id="rId28">
        <w:r w:rsidRPr="0043273E">
          <w:rPr>
            <w:color w:val="0000FF"/>
          </w:rPr>
          <w:t>Законом</w:t>
        </w:r>
      </w:hyperlink>
      <w:r w:rsidRPr="0043273E">
        <w:t xml:space="preserve"> о контрактной системе оценке по критерию оценки "характеристики объекта закупки" (</w:t>
      </w:r>
      <w:proofErr w:type="spellStart"/>
      <w:r w:rsidRPr="0043273E">
        <w:t>БХ</w:t>
      </w:r>
      <w:r w:rsidRPr="0043273E">
        <w:rPr>
          <w:vertAlign w:val="subscript"/>
        </w:rPr>
        <w:t>i</w:t>
      </w:r>
      <w:proofErr w:type="spellEnd"/>
      <w:r w:rsidRPr="0043273E">
        <w:t xml:space="preserve">), рассчитывается по одной из следующих формул, предусмотренных </w:t>
      </w:r>
      <w:hyperlink r:id="rId29">
        <w:r w:rsidRPr="0043273E">
          <w:rPr>
            <w:color w:val="0000FF"/>
          </w:rPr>
          <w:t>подпунктами "а"</w:t>
        </w:r>
      </w:hyperlink>
      <w:r w:rsidRPr="0043273E">
        <w:t xml:space="preserve"> - </w:t>
      </w:r>
      <w:hyperlink r:id="rId30">
        <w:r w:rsidRPr="0043273E">
          <w:rPr>
            <w:color w:val="0000FF"/>
          </w:rPr>
          <w:t>"з" пунктом 20</w:t>
        </w:r>
      </w:hyperlink>
      <w:r w:rsidRPr="0043273E">
        <w:t xml:space="preserve"> Положения.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Согласно порядку оценки заявок Заказчиком для расчета баллов по Детализирующему показателю установлена формула, предусмотренная </w:t>
      </w:r>
      <w:hyperlink r:id="rId31">
        <w:r w:rsidRPr="0043273E">
          <w:rPr>
            <w:color w:val="0000FF"/>
          </w:rPr>
          <w:t>подпунктом "е" пункта 20</w:t>
        </w:r>
      </w:hyperlink>
      <w:r w:rsidRPr="0043273E">
        <w:t xml:space="preserve"> Положения, в соответствии с которой в случае, если лучшим является наибольшее значение характеристики </w:t>
      </w:r>
      <w:r w:rsidRPr="0043273E">
        <w:lastRenderedPageBreak/>
        <w:t xml:space="preserve">объекта закупки и установлено предельное максимальное значение </w:t>
      </w:r>
      <w:r w:rsidRPr="0043273E">
        <w:rPr>
          <w:noProof/>
          <w:position w:val="-9"/>
        </w:rPr>
        <w:drawing>
          <wp:inline distT="0" distB="0" distL="0" distR="0" wp14:anchorId="418F13E9" wp14:editId="28FBB932">
            <wp:extent cx="502920" cy="26225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273E">
        <w:t xml:space="preserve"> характеристики объекта закупки:</w:t>
      </w:r>
    </w:p>
    <w:p w:rsidR="00484E0F" w:rsidRPr="0043273E" w:rsidRDefault="00484E0F">
      <w:pPr>
        <w:pStyle w:val="ConsPlusNormal"/>
        <w:ind w:firstLine="540"/>
        <w:jc w:val="both"/>
      </w:pPr>
    </w:p>
    <w:p w:rsidR="00484E0F" w:rsidRPr="0043273E" w:rsidRDefault="00484E0F">
      <w:pPr>
        <w:pStyle w:val="ConsPlusNormal"/>
        <w:ind w:firstLine="540"/>
        <w:jc w:val="both"/>
      </w:pPr>
      <w:r w:rsidRPr="0043273E">
        <w:rPr>
          <w:noProof/>
          <w:position w:val="-26"/>
        </w:rPr>
        <w:drawing>
          <wp:inline distT="0" distB="0" distL="0" distR="0" wp14:anchorId="5BFC8E0D" wp14:editId="02E26F3B">
            <wp:extent cx="2211070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E0F" w:rsidRPr="0043273E" w:rsidRDefault="00484E0F">
      <w:pPr>
        <w:pStyle w:val="ConsPlusNormal"/>
        <w:ind w:firstLine="540"/>
        <w:jc w:val="both"/>
      </w:pPr>
    </w:p>
    <w:p w:rsidR="00484E0F" w:rsidRPr="0043273E" w:rsidRDefault="00484E0F">
      <w:pPr>
        <w:pStyle w:val="ConsPlusNormal"/>
        <w:ind w:firstLine="540"/>
        <w:jc w:val="both"/>
      </w:pPr>
      <w:r w:rsidRPr="0043273E">
        <w:t>На заседании Комиссии установлено, что по Детализирующему показателю Критерия установлено предельное максимальное значение характеристики объекта закупки в размере 1 251 851 360 рублей.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В силу </w:t>
      </w:r>
      <w:hyperlink r:id="rId34">
        <w:r w:rsidRPr="0043273E">
          <w:rPr>
            <w:color w:val="0000FF"/>
          </w:rPr>
          <w:t>пункта 18</w:t>
        </w:r>
      </w:hyperlink>
      <w:r w:rsidRPr="0043273E">
        <w:t xml:space="preserve"> Положения если характеристика, предусмотренная детализирующим показателем, определяется количественным значением, в документе, предусмотренном </w:t>
      </w:r>
      <w:hyperlink r:id="rId35">
        <w:r w:rsidRPr="0043273E">
          <w:rPr>
            <w:color w:val="0000FF"/>
          </w:rPr>
          <w:t>приложением N 1</w:t>
        </w:r>
      </w:hyperlink>
      <w:r w:rsidRPr="0043273E">
        <w:t xml:space="preserve"> к Положению, указываются единица ее измерения в соответствии с Общероссийским </w:t>
      </w:r>
      <w:hyperlink r:id="rId36">
        <w:r w:rsidRPr="0043273E">
          <w:rPr>
            <w:color w:val="0000FF"/>
          </w:rPr>
          <w:t>классификатором</w:t>
        </w:r>
      </w:hyperlink>
      <w:r w:rsidRPr="0043273E">
        <w:t xml:space="preserve"> единиц измерения </w:t>
      </w:r>
      <w:proofErr w:type="gramStart"/>
      <w:r w:rsidRPr="0043273E">
        <w:t>ОК</w:t>
      </w:r>
      <w:proofErr w:type="gramEnd"/>
      <w:r w:rsidRPr="0043273E">
        <w:t xml:space="preserve"> 015-94 (при наличии), предельное минимальное или предельное максимальное значение такой характеристики (в случае необходимости установления таких предельных значений), в рамках которых будет осуществляться оценка заявок.</w:t>
      </w:r>
    </w:p>
    <w:p w:rsidR="00484E0F" w:rsidRPr="0043273E" w:rsidRDefault="00484E0F">
      <w:pPr>
        <w:pStyle w:val="ConsPlusNormal"/>
        <w:spacing w:before="220"/>
        <w:ind w:firstLine="540"/>
        <w:jc w:val="both"/>
        <w:rPr>
          <w:b/>
        </w:rPr>
      </w:pPr>
      <w:r w:rsidRPr="0043273E">
        <w:rPr>
          <w:b/>
        </w:rPr>
        <w:t>Вместе с тем на заседании Комиссии представители Заказчика не представили доказательств необходимости установления предельного значения.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proofErr w:type="gramStart"/>
      <w:r w:rsidRPr="0043273E">
        <w:t xml:space="preserve">Таким образом, учитывая, что НМЦК составляет 2 503 702 720 рублей, действия Заказчика, установившего предельное максимальное значение характеристики объекта закупки в размере 50% от НМЦК </w:t>
      </w:r>
      <w:r w:rsidRPr="0043273E">
        <w:rPr>
          <w:b/>
        </w:rPr>
        <w:t>в отсутствие надлежащего обоснования</w:t>
      </w:r>
      <w:r w:rsidRPr="0043273E">
        <w:t xml:space="preserve">, не соответствуют </w:t>
      </w:r>
      <w:hyperlink r:id="rId37">
        <w:r w:rsidRPr="0043273E">
          <w:rPr>
            <w:color w:val="0000FF"/>
          </w:rPr>
          <w:t>Положению</w:t>
        </w:r>
      </w:hyperlink>
      <w:r w:rsidRPr="0043273E">
        <w:t xml:space="preserve"> и нарушают </w:t>
      </w:r>
      <w:hyperlink r:id="rId38">
        <w:r w:rsidRPr="0043273E">
          <w:rPr>
            <w:color w:val="0000FF"/>
          </w:rPr>
          <w:t>пункт 11 части 1 статьи 42</w:t>
        </w:r>
      </w:hyperlink>
      <w:r w:rsidRPr="0043273E">
        <w:t xml:space="preserve"> Закона о контрактной системе, что содержит признаки административного правонарушения, отнесенность за совершение которого предусмотрена </w:t>
      </w:r>
      <w:hyperlink r:id="rId39">
        <w:r w:rsidRPr="0043273E">
          <w:rPr>
            <w:color w:val="0000FF"/>
          </w:rPr>
          <w:t>частью 7 статьи 7.32.3</w:t>
        </w:r>
      </w:hyperlink>
      <w:r w:rsidRPr="0043273E">
        <w:t xml:space="preserve"> Кодекса Российской</w:t>
      </w:r>
      <w:proofErr w:type="gramEnd"/>
      <w:r w:rsidRPr="0043273E">
        <w:t xml:space="preserve"> Федерации об административных правонарушениях (далее - КоАП РФ).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>При этом в связи с тем, что Заявитель на заседание Комиссии явку представителей не обеспечил, а также не представил доказательств, подтверждающих, что вышеуказанное нарушение повлияло на результат определения поставщика (подрядчика, исполнителя) и нарушило права потенциальных участников закупки, Комиссией принято решение предписание об устранении выявленных нарушений не выдавать.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>В ходе проведения внеплановой проверки Комиссией установлено следующее.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2. </w:t>
      </w:r>
      <w:proofErr w:type="gramStart"/>
      <w:r w:rsidRPr="0043273E">
        <w:t xml:space="preserve">В силу </w:t>
      </w:r>
      <w:hyperlink r:id="rId40">
        <w:r w:rsidRPr="0043273E">
          <w:rPr>
            <w:color w:val="0000FF"/>
          </w:rPr>
          <w:t>пункта 17 части 1 статьи 42</w:t>
        </w:r>
      </w:hyperlink>
      <w:r w:rsidRPr="0043273E">
        <w:t xml:space="preserve"> Закона о контрактной системе при осуществлении закупки путем проведения открытых конкурентных способов заказчик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извещение об осуществлении закупки, содержащее, в том числе размер обеспечения исполнения контракта, гарантийных обязательств, порядок предоставления</w:t>
      </w:r>
      <w:proofErr w:type="gramEnd"/>
      <w:r w:rsidRPr="0043273E">
        <w:t xml:space="preserve"> такого обеспечения, требования к такому обеспечению (если требование обеспечения исполнения контракта, гарантийных обязательств установлено в </w:t>
      </w:r>
      <w:proofErr w:type="gramStart"/>
      <w:r w:rsidRPr="0043273E">
        <w:t>соответствии</w:t>
      </w:r>
      <w:proofErr w:type="gramEnd"/>
      <w:r w:rsidRPr="0043273E">
        <w:t xml:space="preserve"> со </w:t>
      </w:r>
      <w:hyperlink r:id="rId41">
        <w:r w:rsidRPr="0043273E">
          <w:rPr>
            <w:color w:val="0000FF"/>
          </w:rPr>
          <w:t>статьей 96</w:t>
        </w:r>
      </w:hyperlink>
      <w:r w:rsidRPr="0043273E">
        <w:t xml:space="preserve"> Закона о контрактной системе).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hyperlink r:id="rId42">
        <w:r w:rsidRPr="0043273E">
          <w:rPr>
            <w:color w:val="0000FF"/>
          </w:rPr>
          <w:t>Частью 1 статьи 96</w:t>
        </w:r>
      </w:hyperlink>
      <w:r w:rsidRPr="0043273E">
        <w:t xml:space="preserve"> Закона о контрактной системе установлено, что заказчиком, за исключением случаев, предусмотренных </w:t>
      </w:r>
      <w:hyperlink r:id="rId43">
        <w:r w:rsidRPr="0043273E">
          <w:rPr>
            <w:color w:val="0000FF"/>
          </w:rPr>
          <w:t>частью 2 статьи 96</w:t>
        </w:r>
      </w:hyperlink>
      <w:r w:rsidRPr="0043273E">
        <w:t xml:space="preserve"> Закона о контрактной системе, в извещении об осуществлении закупки, документации о закупке, проекте контракта, приглашении должно быть установлено требование обеспечения исполнения контракта.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Согласно </w:t>
      </w:r>
      <w:hyperlink r:id="rId44">
        <w:r w:rsidRPr="0043273E">
          <w:rPr>
            <w:color w:val="0000FF"/>
          </w:rPr>
          <w:t>части 3 статьи 96</w:t>
        </w:r>
      </w:hyperlink>
      <w:r w:rsidRPr="0043273E">
        <w:t xml:space="preserve"> Закона о контрактной системе исполнение контракта, гарантийные обязательства могут обеспечиваться предоставлением независимой гарантии, соответствующей требованиям </w:t>
      </w:r>
      <w:hyperlink r:id="rId45">
        <w:r w:rsidRPr="0043273E">
          <w:rPr>
            <w:color w:val="0000FF"/>
          </w:rPr>
          <w:t>статьи 45</w:t>
        </w:r>
      </w:hyperlink>
      <w:r w:rsidRPr="0043273E">
        <w:t xml:space="preserve"> Закона о контрактной системе,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lastRenderedPageBreak/>
        <w:t xml:space="preserve">Вместе с тем пунктом 28 извещения о проведении Конкурса установлен порядок предоставления обеспечения исполнения договора, гарантийных обязательств, а именно: "Способ обеспечения исполнения договора, гарантийных обязательств, срок действия банковской гарантии определяются в соответствии с требованиями </w:t>
      </w:r>
      <w:hyperlink r:id="rId46">
        <w:r w:rsidRPr="0043273E">
          <w:rPr>
            <w:color w:val="0000FF"/>
          </w:rPr>
          <w:t>Закона</w:t>
        </w:r>
      </w:hyperlink>
      <w:r w:rsidRPr="0043273E">
        <w:t xml:space="preserve"> участником закупки, с которым заключается договор, самостоятельно. При этом срок действия банковской гарантии должен превышать предусмотренный договором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hyperlink r:id="rId47">
        <w:r w:rsidRPr="0043273E">
          <w:rPr>
            <w:color w:val="0000FF"/>
          </w:rPr>
          <w:t>статьей 95</w:t>
        </w:r>
      </w:hyperlink>
      <w:r w:rsidRPr="0043273E">
        <w:t xml:space="preserve"> Закона".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При этом в соответствии с Федеральным </w:t>
      </w:r>
      <w:hyperlink r:id="rId48">
        <w:r w:rsidRPr="0043273E">
          <w:rPr>
            <w:color w:val="0000FF"/>
          </w:rPr>
          <w:t>законом</w:t>
        </w:r>
      </w:hyperlink>
      <w:r w:rsidRPr="0043273E">
        <w:t xml:space="preserve"> от 02.07.2021 N 360 "О внесении изменений в отдельные законодательные акты Российской Федерации" в </w:t>
      </w:r>
      <w:hyperlink r:id="rId49">
        <w:r w:rsidRPr="0043273E">
          <w:rPr>
            <w:color w:val="0000FF"/>
          </w:rPr>
          <w:t>Законе</w:t>
        </w:r>
      </w:hyperlink>
      <w:r w:rsidRPr="0043273E">
        <w:t xml:space="preserve"> о контрактной системе способ обеспечения исполнения контракта в виде банковской гарантии заменен способ обеспечения исполнения контракта в виде независимой гарантии.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Таким образом, действия Заказчика, установившего условие о возможности предоставления обеспечения исполнения государственного контракта, гарантийных обязательств путем предоставления банковской гарантии не соответствуют положениям </w:t>
      </w:r>
      <w:hyperlink r:id="rId50">
        <w:r w:rsidRPr="0043273E">
          <w:rPr>
            <w:color w:val="0000FF"/>
          </w:rPr>
          <w:t>Закона</w:t>
        </w:r>
      </w:hyperlink>
      <w:r w:rsidRPr="0043273E">
        <w:t xml:space="preserve"> о контрактной системе.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proofErr w:type="gramStart"/>
      <w:r w:rsidRPr="0043273E">
        <w:t xml:space="preserve">Учитывая изложенное, действия Заказчика нарушают </w:t>
      </w:r>
      <w:hyperlink r:id="rId51">
        <w:r w:rsidRPr="0043273E">
          <w:rPr>
            <w:color w:val="0000FF"/>
          </w:rPr>
          <w:t>пункт 17 части 1 статьи 42</w:t>
        </w:r>
      </w:hyperlink>
      <w:r w:rsidRPr="0043273E">
        <w:t xml:space="preserve"> Закона о контрактной системе и содержат признаки административного правонарушения, отнесенность за совершение которого предусмотрена </w:t>
      </w:r>
      <w:hyperlink r:id="rId52">
        <w:r w:rsidRPr="0043273E">
          <w:rPr>
            <w:color w:val="0000FF"/>
          </w:rPr>
          <w:t>частью 7 статьи 7.32.3</w:t>
        </w:r>
      </w:hyperlink>
      <w:r w:rsidRPr="0043273E">
        <w:t xml:space="preserve"> КоАП РФ.</w:t>
      </w:r>
      <w:proofErr w:type="gramEnd"/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>Вместе с тем Комиссией принято решение предписание об устранении выявленного нарушения не выдавать, поскольку указанное нарушение не повлияло на результат определения поставщика (подрядчика, исполнителя).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На основании изложенного и руководствуясь </w:t>
      </w:r>
      <w:hyperlink r:id="rId53">
        <w:r w:rsidRPr="0043273E">
          <w:rPr>
            <w:color w:val="0000FF"/>
          </w:rPr>
          <w:t>частью 1 статьи 2</w:t>
        </w:r>
      </w:hyperlink>
      <w:r w:rsidRPr="0043273E">
        <w:t xml:space="preserve">, </w:t>
      </w:r>
      <w:hyperlink r:id="rId54">
        <w:r w:rsidRPr="0043273E">
          <w:rPr>
            <w:color w:val="0000FF"/>
          </w:rPr>
          <w:t>пунктом 1 части 15 статьи 99</w:t>
        </w:r>
      </w:hyperlink>
      <w:r w:rsidRPr="0043273E">
        <w:t xml:space="preserve">, </w:t>
      </w:r>
      <w:hyperlink r:id="rId55">
        <w:r w:rsidRPr="0043273E">
          <w:rPr>
            <w:color w:val="0000FF"/>
          </w:rPr>
          <w:t>частью 8 статьи 106</w:t>
        </w:r>
      </w:hyperlink>
      <w:r w:rsidRPr="0043273E">
        <w:t xml:space="preserve"> Закона о контрактной системе, Комиссия</w:t>
      </w:r>
    </w:p>
    <w:p w:rsidR="00484E0F" w:rsidRPr="0043273E" w:rsidRDefault="00484E0F">
      <w:pPr>
        <w:pStyle w:val="ConsPlusNormal"/>
        <w:jc w:val="center"/>
      </w:pPr>
    </w:p>
    <w:p w:rsidR="00484E0F" w:rsidRPr="0043273E" w:rsidRDefault="00484E0F">
      <w:pPr>
        <w:pStyle w:val="ConsPlusNormal"/>
        <w:jc w:val="center"/>
      </w:pPr>
      <w:r w:rsidRPr="0043273E">
        <w:t>решила:</w:t>
      </w:r>
    </w:p>
    <w:p w:rsidR="00484E0F" w:rsidRPr="0043273E" w:rsidRDefault="00484E0F">
      <w:pPr>
        <w:pStyle w:val="ConsPlusNormal"/>
        <w:jc w:val="center"/>
      </w:pPr>
    </w:p>
    <w:p w:rsidR="00484E0F" w:rsidRPr="0043273E" w:rsidRDefault="00484E0F">
      <w:pPr>
        <w:pStyle w:val="ConsPlusNormal"/>
        <w:ind w:firstLine="540"/>
        <w:jc w:val="both"/>
      </w:pPr>
      <w:r w:rsidRPr="0043273E">
        <w:t>1. Признать жалоб</w:t>
      </w:r>
      <w:proofErr w:type="gramStart"/>
      <w:r w:rsidRPr="0043273E">
        <w:t>у ООО</w:t>
      </w:r>
      <w:proofErr w:type="gramEnd"/>
      <w:r w:rsidRPr="0043273E">
        <w:t xml:space="preserve"> "ДА" обоснованной в части пункта 1.2 мотивировочной части решения.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2. Признать в </w:t>
      </w:r>
      <w:proofErr w:type="gramStart"/>
      <w:r w:rsidRPr="0043273E">
        <w:t>действиях</w:t>
      </w:r>
      <w:proofErr w:type="gramEnd"/>
      <w:r w:rsidRPr="0043273E">
        <w:t xml:space="preserve"> Заказчика нарушения </w:t>
      </w:r>
      <w:hyperlink r:id="rId56">
        <w:r w:rsidRPr="0043273E">
          <w:rPr>
            <w:color w:val="0000FF"/>
          </w:rPr>
          <w:t>пунктов 11</w:t>
        </w:r>
      </w:hyperlink>
      <w:r w:rsidRPr="0043273E">
        <w:t xml:space="preserve">, </w:t>
      </w:r>
      <w:hyperlink r:id="rId57">
        <w:r w:rsidRPr="0043273E">
          <w:rPr>
            <w:color w:val="0000FF"/>
          </w:rPr>
          <w:t>17 части 1 статьи 42</w:t>
        </w:r>
      </w:hyperlink>
      <w:r w:rsidRPr="0043273E">
        <w:t xml:space="preserve"> Закона о контрактной системе.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 xml:space="preserve">3. В связи с тем, что выявленные нарушения </w:t>
      </w:r>
      <w:hyperlink r:id="rId58">
        <w:r w:rsidRPr="0043273E">
          <w:rPr>
            <w:color w:val="0000FF"/>
          </w:rPr>
          <w:t>Закона</w:t>
        </w:r>
      </w:hyperlink>
      <w:r w:rsidRPr="0043273E">
        <w:t xml:space="preserve"> о контрактной системе не повлияли на результат определения поставщика (подрядчика, исполнителя), предписание об устранении выявленных нарушений не выдавать.</w:t>
      </w:r>
    </w:p>
    <w:p w:rsidR="00484E0F" w:rsidRPr="0043273E" w:rsidRDefault="00484E0F">
      <w:pPr>
        <w:pStyle w:val="ConsPlusNormal"/>
        <w:spacing w:before="220"/>
        <w:ind w:firstLine="540"/>
        <w:jc w:val="both"/>
      </w:pPr>
      <w:r w:rsidRPr="0043273E">
        <w:t>4. Передать материалы от 16.02.2022 по делу N 28/06/105-299/2022 соответствующему должностному лицу Управления контроля размещения государственного заказа и государственного оборонного заказа ФАС России для рассмотрения вопроса о возбуждении дела об административном правонарушении.</w:t>
      </w:r>
    </w:p>
    <w:p w:rsidR="00484E0F" w:rsidRDefault="00484E0F">
      <w:pPr>
        <w:pStyle w:val="ConsPlusNormal"/>
        <w:spacing w:before="220"/>
        <w:ind w:firstLine="540"/>
        <w:jc w:val="both"/>
      </w:pPr>
      <w:r w:rsidRPr="0043273E">
        <w:t xml:space="preserve">Настоящее решение может быть обжаловано в </w:t>
      </w:r>
      <w:proofErr w:type="gramStart"/>
      <w:r w:rsidRPr="0043273E">
        <w:t>суде</w:t>
      </w:r>
      <w:proofErr w:type="gramEnd"/>
      <w:r w:rsidRPr="0043273E">
        <w:t>, арбитражном суде в течение трех месяцев в установленном законом порядке.</w:t>
      </w:r>
      <w:bookmarkStart w:id="0" w:name="_GoBack"/>
      <w:bookmarkEnd w:id="0"/>
    </w:p>
    <w:p w:rsidR="00484E0F" w:rsidRDefault="00484E0F">
      <w:pPr>
        <w:pStyle w:val="ConsPlusNormal"/>
        <w:ind w:firstLine="540"/>
        <w:jc w:val="both"/>
      </w:pPr>
    </w:p>
    <w:p w:rsidR="00484E0F" w:rsidRDefault="00484E0F">
      <w:pPr>
        <w:pStyle w:val="ConsPlusNormal"/>
        <w:ind w:firstLine="540"/>
        <w:jc w:val="both"/>
      </w:pPr>
    </w:p>
    <w:p w:rsidR="00484E0F" w:rsidRDefault="00484E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3DFB" w:rsidRDefault="00723DFB"/>
    <w:sectPr w:rsidR="00723DFB" w:rsidSect="00C82AE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0F"/>
    <w:rsid w:val="0043273E"/>
    <w:rsid w:val="00484E0F"/>
    <w:rsid w:val="00723DFB"/>
    <w:rsid w:val="00C82AE1"/>
    <w:rsid w:val="00DC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4E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84E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84E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4E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84E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84E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E871C4CEBE1118B486585AD3531D9D51A599403C2ED649A62085B37C719D241303ABD7BFEB55594E4ACBF44EA7285617B26DFF8829AE1FAGBi2R" TargetMode="External"/><Relationship Id="rId18" Type="http://schemas.openxmlformats.org/officeDocument/2006/relationships/hyperlink" Target="consultantplus://offline/ref=2E871C4CEBE1118B486585AD3531D9D51A599403C2ED649A62085B37C719D241303ABD7BFEB55597E1ACBF44EA7285617B26DFF8829AE1FAGBi2R" TargetMode="External"/><Relationship Id="rId26" Type="http://schemas.openxmlformats.org/officeDocument/2006/relationships/hyperlink" Target="consultantplus://offline/ref=2E871C4CEBE1118B486585AD3531D9D51D519A0BC4EA649A62085B37C719D241223AE577FFB14B94E4B9E915ACG2i5R" TargetMode="External"/><Relationship Id="rId39" Type="http://schemas.openxmlformats.org/officeDocument/2006/relationships/hyperlink" Target="consultantplus://offline/ref=2E871C4CEBE1118B486585AD3531D9D51A599A02CFEA649A62085B37C719D241303ABD7FFCB0509EB2F6AF40A3268C7E7E3AC0F89C9AGEi3R" TargetMode="External"/><Relationship Id="rId21" Type="http://schemas.openxmlformats.org/officeDocument/2006/relationships/hyperlink" Target="consultantplus://offline/ref=2E871C4CEBE1118B486585AD3531D9D51A599403C2ED649A62085B37C719D241303ABD7BFEB55496E5ACBF44EA7285617B26DFF8829AE1FAGBi2R" TargetMode="External"/><Relationship Id="rId34" Type="http://schemas.openxmlformats.org/officeDocument/2006/relationships/hyperlink" Target="consultantplus://offline/ref=2E871C4CEBE1118B486585AD3531D9D51A599403C2ED649A62085B37C719D241303ABD7BFEB5559DE3ACBF44EA7285617B26DFF8829AE1FAGBi2R" TargetMode="External"/><Relationship Id="rId42" Type="http://schemas.openxmlformats.org/officeDocument/2006/relationships/hyperlink" Target="consultantplus://offline/ref=2E871C4CEBE1118B486585AD3531D9D51D519A0BC4EA649A62085B37C719D241303ABD79FEB75D9EB2F6AF40A3268C7E7E3AC0F89C9AGEi3R" TargetMode="External"/><Relationship Id="rId47" Type="http://schemas.openxmlformats.org/officeDocument/2006/relationships/hyperlink" Target="consultantplus://offline/ref=2E871C4CEBE1118B486585AD3531D9D51D519A0BC4EA649A62085B37C719D241303ABD7BFEB45695EFACBF44EA7285617B26DFF8829AE1FAGBi2R" TargetMode="External"/><Relationship Id="rId50" Type="http://schemas.openxmlformats.org/officeDocument/2006/relationships/hyperlink" Target="consultantplus://offline/ref=2E871C4CEBE1118B486585AD3531D9D51D519A0BC4EA649A62085B37C719D241223AE577FFB14B94E4B9E915ACG2i5R" TargetMode="External"/><Relationship Id="rId55" Type="http://schemas.openxmlformats.org/officeDocument/2006/relationships/hyperlink" Target="consultantplus://offline/ref=2E871C4CEBE1118B486585AD3531D9D51D519A0BC4EA649A62085B37C719D241303ABD79FFB45D9EB2F6AF40A3268C7E7E3AC0F89C9AGEi3R" TargetMode="External"/><Relationship Id="rId7" Type="http://schemas.openxmlformats.org/officeDocument/2006/relationships/hyperlink" Target="consultantplus://offline/ref=2E871C4CEBE1118B486585AD3531D9D51D519A0BC4EA649A62085B37C719D241223AE577FFB14B94E4B9E915ACG2i5R" TargetMode="External"/><Relationship Id="rId12" Type="http://schemas.openxmlformats.org/officeDocument/2006/relationships/hyperlink" Target="consultantplus://offline/ref=2E871C4CEBE1118B486585AD3531D9D51D519A0BC4EA649A62085B37C719D241303ABD78FCB7529EB2F6AF40A3268C7E7E3AC0F89C9AGEi3R" TargetMode="External"/><Relationship Id="rId17" Type="http://schemas.openxmlformats.org/officeDocument/2006/relationships/hyperlink" Target="consultantplus://offline/ref=2E871C4CEBE1118B486585AD3531D9D51A599403C2ED649A62085B37C719D241303ABD7BFEB55591E0ACBF44EA7285617B26DFF8829AE1FAGBi2R" TargetMode="External"/><Relationship Id="rId25" Type="http://schemas.openxmlformats.org/officeDocument/2006/relationships/hyperlink" Target="consultantplus://offline/ref=2E871C4CEBE1118B486585AD3531D9D51A599403C2ED649A62085B37C719D241303ABD7BFEB55594E4ACBF44EA7285617B26DFF8829AE1FAGBi2R" TargetMode="External"/><Relationship Id="rId33" Type="http://schemas.openxmlformats.org/officeDocument/2006/relationships/image" Target="media/image2.wmf"/><Relationship Id="rId38" Type="http://schemas.openxmlformats.org/officeDocument/2006/relationships/hyperlink" Target="consultantplus://offline/ref=2E871C4CEBE1118B486585AD3531D9D51D519A0BC4EA649A62085B37C719D241303ABD78FCBC559EB2F6AF40A3268C7E7E3AC0F89C9AGEi3R" TargetMode="External"/><Relationship Id="rId46" Type="http://schemas.openxmlformats.org/officeDocument/2006/relationships/hyperlink" Target="consultantplus://offline/ref=2E871C4CEBE1118B486585AD3531D9D51D519A0BC4EA649A62085B37C719D241223AE577FFB14B94E4B9E915ACG2i5R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E871C4CEBE1118B486585AD3531D9D51A599403C2ED649A62085B37C719D241303ABD7BFEB55594E4ACBF44EA7285617B26DFF8829AE1FAGBi2R" TargetMode="External"/><Relationship Id="rId20" Type="http://schemas.openxmlformats.org/officeDocument/2006/relationships/hyperlink" Target="consultantplus://offline/ref=2E871C4CEBE1118B486585AD3531D9D51A599403C2ED649A62085B37C719D241303ABD7BFEB55594E4ACBF44EA7285617B26DFF8829AE1FAGBi2R" TargetMode="External"/><Relationship Id="rId29" Type="http://schemas.openxmlformats.org/officeDocument/2006/relationships/hyperlink" Target="consultantplus://offline/ref=2E871C4CEBE1118B486585AD3531D9D51A599403C2ED649A62085B37C719D241303ABD7BFEB5559DEEACBF44EA7285617B26DFF8829AE1FAGBi2R" TargetMode="External"/><Relationship Id="rId41" Type="http://schemas.openxmlformats.org/officeDocument/2006/relationships/hyperlink" Target="consultantplus://offline/ref=2E871C4CEBE1118B486585AD3531D9D51D519A0BC4EA649A62085B37C719D241303ABD7BFEB45691E2ACBF44EA7285617B26DFF8829AE1FAGBi2R" TargetMode="External"/><Relationship Id="rId54" Type="http://schemas.openxmlformats.org/officeDocument/2006/relationships/hyperlink" Target="consultantplus://offline/ref=2E871C4CEBE1118B486585AD3531D9D51D519A0BC4EA649A62085B37C719D241303ABD79FEB0559EB2F6AF40A3268C7E7E3AC0F89C9AGEi3R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E871C4CEBE1118B486585AD3531D9D51D519A0BC4EA649A62085B37C719D241303ABD79FEB0559EB2F6AF40A3268C7E7E3AC0F89C9AGEi3R" TargetMode="External"/><Relationship Id="rId11" Type="http://schemas.openxmlformats.org/officeDocument/2006/relationships/hyperlink" Target="consultantplus://offline/ref=2E871C4CEBE1118B486585AD3531D9D51D519A0BC4EA649A62085B37C719D241223AE577FFB14B94E4B9E915ACG2i5R" TargetMode="External"/><Relationship Id="rId24" Type="http://schemas.openxmlformats.org/officeDocument/2006/relationships/hyperlink" Target="consultantplus://offline/ref=2E871C4CEBE1118B486585AD3531D9D51A599403C2ED649A62085B37C719D241303ABD7BFEB5559DE1ACBF44EA7285617B26DFF8829AE1FAGBi2R" TargetMode="External"/><Relationship Id="rId32" Type="http://schemas.openxmlformats.org/officeDocument/2006/relationships/image" Target="media/image1.wmf"/><Relationship Id="rId37" Type="http://schemas.openxmlformats.org/officeDocument/2006/relationships/hyperlink" Target="consultantplus://offline/ref=2E871C4CEBE1118B486585AD3531D9D51A599403C2ED649A62085B37C719D241303ABD7BFEB55594E4ACBF44EA7285617B26DFF8829AE1FAGBi2R" TargetMode="External"/><Relationship Id="rId40" Type="http://schemas.openxmlformats.org/officeDocument/2006/relationships/hyperlink" Target="consultantplus://offline/ref=2E871C4CEBE1118B486585AD3531D9D51D519A0BC4EA649A62085B37C719D241303ABD78FCBC539EB2F6AF40A3268C7E7E3AC0F89C9AGEi3R" TargetMode="External"/><Relationship Id="rId45" Type="http://schemas.openxmlformats.org/officeDocument/2006/relationships/hyperlink" Target="consultantplus://offline/ref=2E871C4CEBE1118B486585AD3531D9D51D519A0BC4EA649A62085B37C719D241303ABD78FAB1559EB2F6AF40A3268C7E7E3AC0F89C9AGEi3R" TargetMode="External"/><Relationship Id="rId53" Type="http://schemas.openxmlformats.org/officeDocument/2006/relationships/hyperlink" Target="consultantplus://offline/ref=2E871C4CEBE1118B486585AD3531D9D51D519A0BC4EA649A62085B37C719D241303ABD7BFEB55597E5ACBF44EA7285617B26DFF8829AE1FAGBi2R" TargetMode="External"/><Relationship Id="rId58" Type="http://schemas.openxmlformats.org/officeDocument/2006/relationships/hyperlink" Target="consultantplus://offline/ref=2E871C4CEBE1118B486585AD3531D9D51D519A0BC4EA649A62085B37C719D241223AE577FFB14B94E4B9E915ACG2i5R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E871C4CEBE1118B486585AD3531D9D51D519A0BC4EA649A62085B37C719D241223AE577FFB14B94E4B9E915ACG2i5R" TargetMode="External"/><Relationship Id="rId23" Type="http://schemas.openxmlformats.org/officeDocument/2006/relationships/hyperlink" Target="consultantplus://offline/ref=2E871C4CEBE1118B486585AD3531D9D51A599403C2ED649A62085B37C719D241303ABD7BFEB55496E2ACBF44EA7285617B26DFF8829AE1FAGBi2R" TargetMode="External"/><Relationship Id="rId28" Type="http://schemas.openxmlformats.org/officeDocument/2006/relationships/hyperlink" Target="consultantplus://offline/ref=2E871C4CEBE1118B486585AD3531D9D51D519A0BC4EA649A62085B37C719D241223AE577FFB14B94E4B9E915ACG2i5R" TargetMode="External"/><Relationship Id="rId36" Type="http://schemas.openxmlformats.org/officeDocument/2006/relationships/hyperlink" Target="consultantplus://offline/ref=2E871C4CEBE1118B486585AD3531D9D51D50910AC1EF649A62085B37C719D241223AE577FFB14B94E4B9E915ACG2i5R" TargetMode="External"/><Relationship Id="rId49" Type="http://schemas.openxmlformats.org/officeDocument/2006/relationships/hyperlink" Target="consultantplus://offline/ref=2E871C4CEBE1118B486585AD3531D9D51D519A0BC4EA649A62085B37C719D241223AE577FFB14B94E4B9E915ACG2i5R" TargetMode="External"/><Relationship Id="rId57" Type="http://schemas.openxmlformats.org/officeDocument/2006/relationships/hyperlink" Target="consultantplus://offline/ref=2E871C4CEBE1118B486585AD3531D9D51D519A0BC4EA649A62085B37C719D241303ABD78FCBC539EB2F6AF40A3268C7E7E3AC0F89C9AGEi3R" TargetMode="External"/><Relationship Id="rId10" Type="http://schemas.openxmlformats.org/officeDocument/2006/relationships/hyperlink" Target="consultantplus://offline/ref=2E871C4CEBE1118B486585AD3531D9D51D519A0BC4EA649A62085B37C719D241303ABD78FCBC559EB2F6AF40A3268C7E7E3AC0F89C9AGEi3R" TargetMode="External"/><Relationship Id="rId19" Type="http://schemas.openxmlformats.org/officeDocument/2006/relationships/hyperlink" Target="consultantplus://offline/ref=2E871C4CEBE1118B486585AD3531D9D51A599403C2ED649A62085B37C719D241303ABD7BFEB55494EFACBF44EA7285617B26DFF8829AE1FAGBi2R" TargetMode="External"/><Relationship Id="rId31" Type="http://schemas.openxmlformats.org/officeDocument/2006/relationships/hyperlink" Target="consultantplus://offline/ref=2E871C4CEBE1118B486585AD3531D9D51A599403C2ED649A62085B37C719D241303ABD7BFEB55495E2ACBF44EA7285617B26DFF8829AE1FAGBi2R" TargetMode="External"/><Relationship Id="rId44" Type="http://schemas.openxmlformats.org/officeDocument/2006/relationships/hyperlink" Target="consultantplus://offline/ref=2E871C4CEBE1118B486585AD3531D9D51D519A0BC4EA649A62085B37C719D241303ABD79FEB6519EB2F6AF40A3268C7E7E3AC0F89C9AGEi3R" TargetMode="External"/><Relationship Id="rId52" Type="http://schemas.openxmlformats.org/officeDocument/2006/relationships/hyperlink" Target="consultantplus://offline/ref=2E871C4CEBE1118B486585AD3531D9D51A599A02CFEA649A62085B37C719D241303ABD7FFCB0509EB2F6AF40A3268C7E7E3AC0F89C9AGEi3R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871C4CEBE1118B486585AD3531D9D51D519A0BC4EA649A62085B37C719D241223AE577FFB14B94E4B9E915ACG2i5R" TargetMode="External"/><Relationship Id="rId14" Type="http://schemas.openxmlformats.org/officeDocument/2006/relationships/hyperlink" Target="consultantplus://offline/ref=2E871C4CEBE1118B486585AD3531D9D51A599403C2ED649A62085B37C719D241303ABD7BFEB55594E3ACBF44EA7285617B26DFF8829AE1FAGBi2R" TargetMode="External"/><Relationship Id="rId22" Type="http://schemas.openxmlformats.org/officeDocument/2006/relationships/hyperlink" Target="consultantplus://offline/ref=2E871C4CEBE1118B486585AD3531D9D51A599403C2ED649A62085B37C719D241303ABD7BFEB55494EFACBF44EA7285617B26DFF8829AE1FAGBi2R" TargetMode="External"/><Relationship Id="rId27" Type="http://schemas.openxmlformats.org/officeDocument/2006/relationships/hyperlink" Target="consultantplus://offline/ref=2E871C4CEBE1118B486585AD3531D9D51A599403C2ED649A62085B37C719D241303ABD7BFEB5559DE1ACBF44EA7285617B26DFF8829AE1FAGBi2R" TargetMode="External"/><Relationship Id="rId30" Type="http://schemas.openxmlformats.org/officeDocument/2006/relationships/hyperlink" Target="consultantplus://offline/ref=2E871C4CEBE1118B486585AD3531D9D51A599403C2ED649A62085B37C719D241303ABD7BFEB55495EEACBF44EA7285617B26DFF8829AE1FAGBi2R" TargetMode="External"/><Relationship Id="rId35" Type="http://schemas.openxmlformats.org/officeDocument/2006/relationships/hyperlink" Target="consultantplus://offline/ref=2E871C4CEBE1118B486585AD3531D9D51A599403C2ED649A62085B37C719D241303ABD7BFEB5549CE7ACBF44EA7285617B26DFF8829AE1FAGBi2R" TargetMode="External"/><Relationship Id="rId43" Type="http://schemas.openxmlformats.org/officeDocument/2006/relationships/hyperlink" Target="consultantplus://offline/ref=2E871C4CEBE1118B486585AD3531D9D51D519A0BC4EA649A62085B37C719D241303ABD79FEB6579EB2F6AF40A3268C7E7E3AC0F89C9AGEi3R" TargetMode="External"/><Relationship Id="rId48" Type="http://schemas.openxmlformats.org/officeDocument/2006/relationships/hyperlink" Target="consultantplus://offline/ref=2E871C4CEBE1118B486585AD3531D9D51D519B00C7E5649A62085B37C719D241223AE577FFB14B94E4B9E915ACG2i5R" TargetMode="External"/><Relationship Id="rId56" Type="http://schemas.openxmlformats.org/officeDocument/2006/relationships/hyperlink" Target="consultantplus://offline/ref=2E871C4CEBE1118B486585AD3531D9D51D519A0BC4EA649A62085B37C719D241303ABD78FCBC559EB2F6AF40A3268C7E7E3AC0F89C9AGEi3R" TargetMode="External"/><Relationship Id="rId8" Type="http://schemas.openxmlformats.org/officeDocument/2006/relationships/hyperlink" Target="consultantplus://offline/ref=2E871C4CEBE1118B486585AD3531D9D51D519A0BC4EA649A62085B37C719D241303ABD79FEB0559EB2F6AF40A3268C7E7E3AC0F89C9AGEi3R" TargetMode="External"/><Relationship Id="rId51" Type="http://schemas.openxmlformats.org/officeDocument/2006/relationships/hyperlink" Target="consultantplus://offline/ref=2E871C4CEBE1118B486585AD3531D9D51D519A0BC4EA649A62085B37C719D241303ABD78FCBC539EB2F6AF40A3268C7E7E3AC0F89C9AGEi3R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3583</Words>
  <Characters>20425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 Искандер Гимадиевич</dc:creator>
  <cp:lastModifiedBy>Багаутдинов Искандер Гимадиевич</cp:lastModifiedBy>
  <cp:revision>4</cp:revision>
  <cp:lastPrinted>2022-12-14T17:46:00Z</cp:lastPrinted>
  <dcterms:created xsi:type="dcterms:W3CDTF">2022-12-14T17:34:00Z</dcterms:created>
  <dcterms:modified xsi:type="dcterms:W3CDTF">2022-12-14T17:47:00Z</dcterms:modified>
</cp:coreProperties>
</file>