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E610B7" w:rsidRPr="00E610B7" w:rsidTr="00E610B7">
        <w:trPr>
          <w:tblCellSpacing w:w="0" w:type="dxa"/>
        </w:trPr>
        <w:tc>
          <w:tcPr>
            <w:tcW w:w="0" w:type="auto"/>
            <w:vAlign w:val="center"/>
            <w:hideMark/>
          </w:tcPr>
          <w:p w:rsidR="00E610B7" w:rsidRPr="00E610B7" w:rsidRDefault="00E610B7" w:rsidP="00E610B7">
            <w:pPr>
              <w:spacing w:before="100" w:beforeAutospacing="1" w:after="0" w:line="314" w:lineRule="atLeast"/>
              <w:outlineLvl w:val="0"/>
              <w:rPr>
                <w:rFonts w:ascii="Times New Roman" w:eastAsia="Times New Roman" w:hAnsi="Times New Roman" w:cs="Times New Roman"/>
                <w:kern w:val="36"/>
                <w:sz w:val="24"/>
                <w:szCs w:val="24"/>
                <w:lang w:eastAsia="ru-RU"/>
              </w:rPr>
            </w:pPr>
          </w:p>
        </w:tc>
      </w:tr>
    </w:tbl>
    <w:p w:rsidR="00E610B7" w:rsidRPr="00E610B7" w:rsidRDefault="00E610B7" w:rsidP="00E610B7">
      <w:pPr>
        <w:spacing w:after="0" w:line="240" w:lineRule="auto"/>
        <w:rPr>
          <w:rFonts w:ascii="Times New Roman" w:eastAsia="Times New Roman" w:hAnsi="Times New Roman" w:cs="Times New Roman"/>
          <w:color w:val="000000"/>
          <w:sz w:val="24"/>
          <w:szCs w:val="24"/>
          <w:lang w:eastAsia="ru-RU"/>
        </w:rPr>
      </w:pPr>
      <w:r w:rsidRPr="00986FEC">
        <w:rPr>
          <w:rFonts w:ascii="Times New Roman" w:eastAsia="Times New Roman" w:hAnsi="Times New Roman" w:cs="Times New Roman"/>
          <w:color w:val="000000"/>
          <w:sz w:val="24"/>
          <w:szCs w:val="24"/>
          <w:lang w:eastAsia="ru-RU"/>
        </w:rPr>
        <w:t> </w:t>
      </w:r>
    </w:p>
    <w:p w:rsidR="00E610B7" w:rsidRPr="00E610B7" w:rsidRDefault="00E610B7" w:rsidP="00E610B7">
      <w:pPr>
        <w:spacing w:after="0" w:line="240" w:lineRule="auto"/>
        <w:jc w:val="center"/>
        <w:rPr>
          <w:rFonts w:ascii="Times New Roman" w:eastAsia="Times New Roman" w:hAnsi="Times New Roman" w:cs="Times New Roman"/>
          <w:color w:val="000000"/>
          <w:sz w:val="24"/>
          <w:szCs w:val="24"/>
          <w:lang w:eastAsia="ru-RU"/>
        </w:rPr>
      </w:pPr>
      <w:r w:rsidRPr="00E610B7">
        <w:rPr>
          <w:rFonts w:ascii="Times New Roman" w:eastAsia="Times New Roman" w:hAnsi="Times New Roman" w:cs="Times New Roman"/>
          <w:color w:val="000000"/>
          <w:sz w:val="24"/>
          <w:szCs w:val="24"/>
          <w:lang w:eastAsia="ru-RU"/>
        </w:rPr>
        <w:t> Методические рекомендации для субъектов Российской Федерации по организации закупок продуктов детского питания</w:t>
      </w:r>
    </w:p>
    <w:p w:rsidR="00E610B7" w:rsidRPr="00E610B7" w:rsidRDefault="00E610B7" w:rsidP="00E610B7">
      <w:pPr>
        <w:spacing w:after="0" w:line="240" w:lineRule="auto"/>
        <w:jc w:val="both"/>
        <w:rPr>
          <w:rFonts w:ascii="Times New Roman" w:eastAsia="Times New Roman" w:hAnsi="Times New Roman" w:cs="Times New Roman"/>
          <w:color w:val="000000"/>
          <w:sz w:val="24"/>
          <w:szCs w:val="24"/>
          <w:lang w:eastAsia="ru-RU"/>
        </w:rPr>
      </w:pPr>
    </w:p>
    <w:p w:rsidR="00986FEC" w:rsidRDefault="00E610B7" w:rsidP="00E610B7">
      <w:pPr>
        <w:spacing w:after="101" w:line="240" w:lineRule="auto"/>
        <w:jc w:val="both"/>
        <w:rPr>
          <w:rFonts w:ascii="Times New Roman" w:eastAsia="Times New Roman" w:hAnsi="Times New Roman" w:cs="Times New Roman"/>
          <w:color w:val="000000"/>
          <w:sz w:val="24"/>
          <w:szCs w:val="24"/>
          <w:lang w:eastAsia="ru-RU"/>
        </w:rPr>
      </w:pPr>
      <w:r w:rsidRPr="00E610B7">
        <w:rPr>
          <w:rFonts w:ascii="Times New Roman" w:eastAsia="Times New Roman" w:hAnsi="Times New Roman" w:cs="Times New Roman"/>
          <w:color w:val="000000"/>
          <w:sz w:val="24"/>
          <w:szCs w:val="24"/>
          <w:lang w:eastAsia="ru-RU"/>
        </w:rPr>
        <w:t xml:space="preserve">Правовое регулирование конкурентных отношений и отношений, связанных с размещением заказов, предполагает взаимосвязанные цели и задачи. Так, одним из принципов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является обеспечение конкуренции. Согласно части 2 статьи 8 Закона о контрактной системе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противоречат требованиям Закона о контрактной системе, в том числе приводят к ограничению конкуренции, в частности к необоснованному ограничению числа участников закупок. </w:t>
      </w:r>
      <w:proofErr w:type="gramStart"/>
      <w:r w:rsidRPr="00E610B7">
        <w:rPr>
          <w:rFonts w:ascii="Times New Roman" w:eastAsia="Times New Roman" w:hAnsi="Times New Roman" w:cs="Times New Roman"/>
          <w:color w:val="000000"/>
          <w:sz w:val="24"/>
          <w:szCs w:val="24"/>
          <w:lang w:eastAsia="ru-RU"/>
        </w:rPr>
        <w:t>В соответствии с частью 1 статьи 2 Закона о контрактной системе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основывается на положениях Конституции Российской Федерации, Гражданского кодекса Российской Федерации, Бюджетного кодекса Российской Федерации и состоит из Закона о контрактной системе и других федеральных законов, регулирующих отношения, направленные на обеспечение государственных</w:t>
      </w:r>
      <w:proofErr w:type="gramEnd"/>
      <w:r w:rsidRPr="00E610B7">
        <w:rPr>
          <w:rFonts w:ascii="Times New Roman" w:eastAsia="Times New Roman" w:hAnsi="Times New Roman" w:cs="Times New Roman"/>
          <w:color w:val="000000"/>
          <w:sz w:val="24"/>
          <w:szCs w:val="24"/>
          <w:lang w:eastAsia="ru-RU"/>
        </w:rPr>
        <w:t xml:space="preserve"> и муниципальных нужд.</w:t>
      </w:r>
      <w:r w:rsidRPr="00986FEC">
        <w:rPr>
          <w:rFonts w:ascii="Times New Roman" w:eastAsia="Times New Roman" w:hAnsi="Times New Roman" w:cs="Times New Roman"/>
          <w:color w:val="000000"/>
          <w:sz w:val="24"/>
          <w:szCs w:val="24"/>
          <w:lang w:eastAsia="ru-RU"/>
        </w:rPr>
        <w:t> </w:t>
      </w:r>
      <w:r w:rsidRPr="00E610B7">
        <w:rPr>
          <w:rFonts w:ascii="Times New Roman" w:eastAsia="Times New Roman" w:hAnsi="Times New Roman" w:cs="Times New Roman"/>
          <w:color w:val="000000"/>
          <w:sz w:val="24"/>
          <w:szCs w:val="24"/>
          <w:lang w:eastAsia="ru-RU"/>
        </w:rPr>
        <w:br/>
      </w:r>
      <w:r w:rsidRPr="00E610B7">
        <w:rPr>
          <w:rFonts w:ascii="Times New Roman" w:eastAsia="Times New Roman" w:hAnsi="Times New Roman" w:cs="Times New Roman"/>
          <w:color w:val="000000"/>
          <w:sz w:val="24"/>
          <w:szCs w:val="24"/>
          <w:lang w:eastAsia="ru-RU"/>
        </w:rPr>
        <w:br/>
        <w:t>Одним из таких законов является Федеральный закон от 26.07.2006 № 135-ФЗ «О защите конкуренции» (далее – Закон о защите конкуренции), целью которого является обеспечение единства экономического пространства в Российской Федерации, защита конкуренции и создание условий для эффективного функционирования товарных рынков (часть 2 статьи 1).</w:t>
      </w:r>
    </w:p>
    <w:p w:rsidR="00986FEC" w:rsidRDefault="00E610B7" w:rsidP="00E610B7">
      <w:pPr>
        <w:spacing w:after="101" w:line="240" w:lineRule="auto"/>
        <w:jc w:val="both"/>
        <w:rPr>
          <w:rFonts w:ascii="Times New Roman" w:eastAsia="Times New Roman" w:hAnsi="Times New Roman" w:cs="Times New Roman"/>
          <w:color w:val="000000"/>
          <w:sz w:val="24"/>
          <w:szCs w:val="24"/>
          <w:lang w:eastAsia="ru-RU"/>
        </w:rPr>
      </w:pPr>
      <w:r w:rsidRPr="00E610B7">
        <w:rPr>
          <w:rFonts w:ascii="Times New Roman" w:eastAsia="Times New Roman" w:hAnsi="Times New Roman" w:cs="Times New Roman"/>
          <w:color w:val="000000"/>
          <w:sz w:val="24"/>
          <w:szCs w:val="24"/>
          <w:lang w:eastAsia="ru-RU"/>
        </w:rPr>
        <w:br/>
      </w:r>
      <w:r w:rsidRPr="00E610B7">
        <w:rPr>
          <w:rFonts w:ascii="Times New Roman" w:eastAsia="Times New Roman" w:hAnsi="Times New Roman" w:cs="Times New Roman"/>
          <w:color w:val="000000"/>
          <w:sz w:val="24"/>
          <w:szCs w:val="24"/>
          <w:lang w:eastAsia="ru-RU"/>
        </w:rPr>
        <w:br/>
        <w:t>Запреты на ограничивающие конкуренцию действия организаторов или заказчиков торгов при проведении закупок на поставки товаров для государственных нужд, установленные законодательством, также взаимосвязаны.</w:t>
      </w:r>
    </w:p>
    <w:p w:rsidR="00986FEC" w:rsidRDefault="00E610B7" w:rsidP="00E610B7">
      <w:pPr>
        <w:spacing w:after="101" w:line="240" w:lineRule="auto"/>
        <w:jc w:val="both"/>
        <w:rPr>
          <w:rFonts w:ascii="Times New Roman" w:eastAsia="Times New Roman" w:hAnsi="Times New Roman" w:cs="Times New Roman"/>
          <w:color w:val="000000"/>
          <w:sz w:val="24"/>
          <w:szCs w:val="24"/>
          <w:lang w:eastAsia="ru-RU"/>
        </w:rPr>
      </w:pPr>
      <w:r w:rsidRPr="00E610B7">
        <w:rPr>
          <w:rFonts w:ascii="Times New Roman" w:eastAsia="Times New Roman" w:hAnsi="Times New Roman" w:cs="Times New Roman"/>
          <w:color w:val="000000"/>
          <w:sz w:val="24"/>
          <w:szCs w:val="24"/>
          <w:lang w:eastAsia="ru-RU"/>
        </w:rPr>
        <w:br/>
      </w:r>
      <w:r w:rsidRPr="00E610B7">
        <w:rPr>
          <w:rFonts w:ascii="Times New Roman" w:eastAsia="Times New Roman" w:hAnsi="Times New Roman" w:cs="Times New Roman"/>
          <w:color w:val="000000"/>
          <w:sz w:val="24"/>
          <w:szCs w:val="24"/>
          <w:lang w:eastAsia="ru-RU"/>
        </w:rPr>
        <w:br/>
        <w:t>В соответствии с частью 1 статьи 24 Закона о контрактной системе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 Согласно части 1 статьи 25 Закона о контрактной системе при осуществлении двумя и более заказчиками закупок одних и тех же товаров, работ, услуг такие заказчики вправе проводить совместные конкурсы или аукционы.</w:t>
      </w:r>
      <w:r w:rsidRPr="00E610B7">
        <w:rPr>
          <w:rFonts w:ascii="Times New Roman" w:eastAsia="Times New Roman" w:hAnsi="Times New Roman" w:cs="Times New Roman"/>
          <w:color w:val="000000"/>
          <w:sz w:val="24"/>
          <w:szCs w:val="24"/>
          <w:lang w:eastAsia="ru-RU"/>
        </w:rPr>
        <w:br/>
      </w:r>
      <w:r w:rsidRPr="00E610B7">
        <w:rPr>
          <w:rFonts w:ascii="Times New Roman" w:eastAsia="Times New Roman" w:hAnsi="Times New Roman" w:cs="Times New Roman"/>
          <w:color w:val="000000"/>
          <w:sz w:val="24"/>
          <w:szCs w:val="24"/>
          <w:lang w:eastAsia="ru-RU"/>
        </w:rPr>
        <w:br/>
        <w:t>Вместе с тем, заказчик должен руководствоваться правилами описания объекта закупки, которые установлены статьей 33 Закона о контрактной системе.</w:t>
      </w:r>
    </w:p>
    <w:p w:rsidR="00986FEC" w:rsidRDefault="00E610B7" w:rsidP="00E610B7">
      <w:pPr>
        <w:spacing w:after="101" w:line="240" w:lineRule="auto"/>
        <w:jc w:val="both"/>
        <w:rPr>
          <w:rFonts w:ascii="Times New Roman" w:eastAsia="Times New Roman" w:hAnsi="Times New Roman" w:cs="Times New Roman"/>
          <w:color w:val="000000"/>
          <w:sz w:val="24"/>
          <w:szCs w:val="24"/>
          <w:lang w:eastAsia="ru-RU"/>
        </w:rPr>
      </w:pPr>
      <w:r w:rsidRPr="00E610B7">
        <w:rPr>
          <w:rFonts w:ascii="Times New Roman" w:eastAsia="Times New Roman" w:hAnsi="Times New Roman" w:cs="Times New Roman"/>
          <w:color w:val="000000"/>
          <w:sz w:val="24"/>
          <w:szCs w:val="24"/>
          <w:lang w:eastAsia="ru-RU"/>
        </w:rPr>
        <w:br/>
      </w:r>
      <w:r w:rsidRPr="00E610B7">
        <w:rPr>
          <w:rFonts w:ascii="Times New Roman" w:eastAsia="Times New Roman" w:hAnsi="Times New Roman" w:cs="Times New Roman"/>
          <w:color w:val="000000"/>
          <w:sz w:val="24"/>
          <w:szCs w:val="24"/>
          <w:lang w:eastAsia="ru-RU"/>
        </w:rPr>
        <w:br/>
        <w:t>В соответствии с пунктом 1 части 1 статьи 33 Закона о контрактной системе в описание объекта закупки не должны включаться требования к товарам, информации, работам, услугам при условии, что такие требования влекут за собой ограничение количества участников закупки.</w:t>
      </w:r>
    </w:p>
    <w:p w:rsidR="00986FEC" w:rsidRDefault="00E610B7" w:rsidP="00E610B7">
      <w:pPr>
        <w:spacing w:after="101" w:line="240" w:lineRule="auto"/>
        <w:jc w:val="both"/>
        <w:rPr>
          <w:rFonts w:ascii="Times New Roman" w:eastAsia="Times New Roman" w:hAnsi="Times New Roman" w:cs="Times New Roman"/>
          <w:color w:val="000000"/>
          <w:sz w:val="24"/>
          <w:szCs w:val="24"/>
          <w:lang w:eastAsia="ru-RU"/>
        </w:rPr>
      </w:pPr>
      <w:r w:rsidRPr="00E610B7">
        <w:rPr>
          <w:rFonts w:ascii="Times New Roman" w:eastAsia="Times New Roman" w:hAnsi="Times New Roman" w:cs="Times New Roman"/>
          <w:color w:val="000000"/>
          <w:sz w:val="24"/>
          <w:szCs w:val="24"/>
          <w:lang w:eastAsia="ru-RU"/>
        </w:rPr>
        <w:br/>
      </w:r>
      <w:r w:rsidRPr="00E610B7">
        <w:rPr>
          <w:rFonts w:ascii="Times New Roman" w:eastAsia="Times New Roman" w:hAnsi="Times New Roman" w:cs="Times New Roman"/>
          <w:color w:val="000000"/>
          <w:sz w:val="24"/>
          <w:szCs w:val="24"/>
          <w:lang w:eastAsia="ru-RU"/>
        </w:rPr>
        <w:br/>
      </w:r>
      <w:proofErr w:type="gramStart"/>
      <w:r w:rsidRPr="00E610B7">
        <w:rPr>
          <w:rFonts w:ascii="Times New Roman" w:eastAsia="Times New Roman" w:hAnsi="Times New Roman" w:cs="Times New Roman"/>
          <w:color w:val="000000"/>
          <w:sz w:val="24"/>
          <w:szCs w:val="24"/>
          <w:lang w:eastAsia="ru-RU"/>
        </w:rPr>
        <w:lastRenderedPageBreak/>
        <w:t>Кроме того, частью 3 статьи 33 Закона о контрактной системе установлено, что не допускается включение в документацию о закупке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w:t>
      </w:r>
      <w:proofErr w:type="gramEnd"/>
      <w:r w:rsidRPr="00E610B7">
        <w:rPr>
          <w:rFonts w:ascii="Times New Roman" w:eastAsia="Times New Roman" w:hAnsi="Times New Roman" w:cs="Times New Roman"/>
          <w:color w:val="000000"/>
          <w:sz w:val="24"/>
          <w:szCs w:val="24"/>
          <w:lang w:eastAsia="ru-RU"/>
        </w:rPr>
        <w:t xml:space="preserve"> </w:t>
      </w:r>
      <w:proofErr w:type="gramStart"/>
      <w:r w:rsidRPr="00E610B7">
        <w:rPr>
          <w:rFonts w:ascii="Times New Roman" w:eastAsia="Times New Roman" w:hAnsi="Times New Roman" w:cs="Times New Roman"/>
          <w:color w:val="000000"/>
          <w:sz w:val="24"/>
          <w:szCs w:val="24"/>
          <w:lang w:eastAsia="ru-RU"/>
        </w:rPr>
        <w:t>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Законом о контрактной системе.</w:t>
      </w:r>
      <w:proofErr w:type="gramEnd"/>
    </w:p>
    <w:p w:rsidR="00986FEC" w:rsidRDefault="00E610B7" w:rsidP="00E610B7">
      <w:pPr>
        <w:spacing w:after="101" w:line="240" w:lineRule="auto"/>
        <w:jc w:val="both"/>
        <w:rPr>
          <w:rFonts w:ascii="Times New Roman" w:eastAsia="Times New Roman" w:hAnsi="Times New Roman" w:cs="Times New Roman"/>
          <w:color w:val="000000"/>
          <w:sz w:val="24"/>
          <w:szCs w:val="24"/>
          <w:lang w:eastAsia="ru-RU"/>
        </w:rPr>
      </w:pPr>
      <w:r w:rsidRPr="00E610B7">
        <w:rPr>
          <w:rFonts w:ascii="Times New Roman" w:eastAsia="Times New Roman" w:hAnsi="Times New Roman" w:cs="Times New Roman"/>
          <w:color w:val="000000"/>
          <w:sz w:val="24"/>
          <w:szCs w:val="24"/>
          <w:lang w:eastAsia="ru-RU"/>
        </w:rPr>
        <w:br/>
      </w:r>
      <w:r w:rsidRPr="00E610B7">
        <w:rPr>
          <w:rFonts w:ascii="Times New Roman" w:eastAsia="Times New Roman" w:hAnsi="Times New Roman" w:cs="Times New Roman"/>
          <w:color w:val="000000"/>
          <w:sz w:val="24"/>
          <w:szCs w:val="24"/>
          <w:lang w:eastAsia="ru-RU"/>
        </w:rPr>
        <w:br/>
        <w:t xml:space="preserve">В соответствии с частью 1 статьи 17 Закона о защите конкуренции при проведении торгов запрещаются действия, которые приводят или могут привести к недопущению, ограничению или устранению конкуренции. </w:t>
      </w:r>
      <w:proofErr w:type="gramStart"/>
      <w:r w:rsidRPr="00E610B7">
        <w:rPr>
          <w:rFonts w:ascii="Times New Roman" w:eastAsia="Times New Roman" w:hAnsi="Times New Roman" w:cs="Times New Roman"/>
          <w:color w:val="000000"/>
          <w:sz w:val="24"/>
          <w:szCs w:val="24"/>
          <w:lang w:eastAsia="ru-RU"/>
        </w:rPr>
        <w:t>В силу части 2 статьи 17 Закона о защите конкуренции наряду с установленными частью 1 статьи 17 запретами при проведении торгов, если организаторами или заказчиками торгов являются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а также при проведении торгов на размещение заказов на поставки товаров, выполнение работ, оказание услуг для государственных</w:t>
      </w:r>
      <w:proofErr w:type="gramEnd"/>
      <w:r w:rsidRPr="00E610B7">
        <w:rPr>
          <w:rFonts w:ascii="Times New Roman" w:eastAsia="Times New Roman" w:hAnsi="Times New Roman" w:cs="Times New Roman"/>
          <w:color w:val="000000"/>
          <w:sz w:val="24"/>
          <w:szCs w:val="24"/>
          <w:lang w:eastAsia="ru-RU"/>
        </w:rPr>
        <w:t xml:space="preserve"> или муниципальных нужд запрещается не предусмотренное федеральными законами или иными нормативными правовыми актами ограничение доступа к участию в торгах.</w:t>
      </w:r>
    </w:p>
    <w:p w:rsidR="00986FEC" w:rsidRDefault="00E610B7" w:rsidP="00E610B7">
      <w:pPr>
        <w:spacing w:after="101" w:line="240" w:lineRule="auto"/>
        <w:jc w:val="both"/>
        <w:rPr>
          <w:rFonts w:ascii="Times New Roman" w:eastAsia="Times New Roman" w:hAnsi="Times New Roman" w:cs="Times New Roman"/>
          <w:color w:val="000000"/>
          <w:sz w:val="24"/>
          <w:szCs w:val="24"/>
          <w:lang w:eastAsia="ru-RU"/>
        </w:rPr>
      </w:pPr>
      <w:r w:rsidRPr="00E610B7">
        <w:rPr>
          <w:rFonts w:ascii="Times New Roman" w:eastAsia="Times New Roman" w:hAnsi="Times New Roman" w:cs="Times New Roman"/>
          <w:color w:val="000000"/>
          <w:sz w:val="24"/>
          <w:szCs w:val="24"/>
          <w:lang w:eastAsia="ru-RU"/>
        </w:rPr>
        <w:br/>
      </w:r>
      <w:r w:rsidRPr="00E610B7">
        <w:rPr>
          <w:rFonts w:ascii="Times New Roman" w:eastAsia="Times New Roman" w:hAnsi="Times New Roman" w:cs="Times New Roman"/>
          <w:color w:val="000000"/>
          <w:sz w:val="24"/>
          <w:szCs w:val="24"/>
          <w:lang w:eastAsia="ru-RU"/>
        </w:rPr>
        <w:br/>
        <w:t>Исходя из буквального и смыслового толкования нормативных положений статьи 17 Закона о защите конкуренции, запрещаются любые действия, которые приводят или могут привести к недопущению, ограничению или устранению конкуренции при проведении торгов, поскольку перечень запретов, перечисленных в статье 17 Закона о защите конкуренции, не является исчерпывающим.</w:t>
      </w:r>
    </w:p>
    <w:p w:rsidR="00986FEC" w:rsidRDefault="00E610B7" w:rsidP="00E610B7">
      <w:pPr>
        <w:spacing w:after="101" w:line="240" w:lineRule="auto"/>
        <w:jc w:val="both"/>
        <w:rPr>
          <w:rFonts w:ascii="Times New Roman" w:eastAsia="Times New Roman" w:hAnsi="Times New Roman" w:cs="Times New Roman"/>
          <w:color w:val="000000"/>
          <w:sz w:val="24"/>
          <w:szCs w:val="24"/>
          <w:lang w:eastAsia="ru-RU"/>
        </w:rPr>
      </w:pPr>
      <w:r w:rsidRPr="00E610B7">
        <w:rPr>
          <w:rFonts w:ascii="Times New Roman" w:eastAsia="Times New Roman" w:hAnsi="Times New Roman" w:cs="Times New Roman"/>
          <w:color w:val="000000"/>
          <w:sz w:val="24"/>
          <w:szCs w:val="24"/>
          <w:lang w:eastAsia="ru-RU"/>
        </w:rPr>
        <w:br/>
      </w:r>
      <w:r w:rsidRPr="00E610B7">
        <w:rPr>
          <w:rFonts w:ascii="Times New Roman" w:eastAsia="Times New Roman" w:hAnsi="Times New Roman" w:cs="Times New Roman"/>
          <w:color w:val="000000"/>
          <w:sz w:val="24"/>
          <w:szCs w:val="24"/>
          <w:lang w:eastAsia="ru-RU"/>
        </w:rPr>
        <w:br/>
        <w:t xml:space="preserve">Как </w:t>
      </w:r>
      <w:proofErr w:type="gramStart"/>
      <w:r w:rsidRPr="00E610B7">
        <w:rPr>
          <w:rFonts w:ascii="Times New Roman" w:eastAsia="Times New Roman" w:hAnsi="Times New Roman" w:cs="Times New Roman"/>
          <w:color w:val="000000"/>
          <w:sz w:val="24"/>
          <w:szCs w:val="24"/>
          <w:lang w:eastAsia="ru-RU"/>
        </w:rPr>
        <w:t>правило</w:t>
      </w:r>
      <w:proofErr w:type="gramEnd"/>
      <w:r w:rsidRPr="00E610B7">
        <w:rPr>
          <w:rFonts w:ascii="Times New Roman" w:eastAsia="Times New Roman" w:hAnsi="Times New Roman" w:cs="Times New Roman"/>
          <w:color w:val="000000"/>
          <w:sz w:val="24"/>
          <w:szCs w:val="24"/>
          <w:lang w:eastAsia="ru-RU"/>
        </w:rPr>
        <w:t xml:space="preserve"> при формировании аукционной документации заказчики формируют крупные как по номенклатуре, так и по количеству поставляемой продукции, лоты.</w:t>
      </w:r>
      <w:r w:rsidRPr="00E610B7">
        <w:rPr>
          <w:rFonts w:ascii="Times New Roman" w:eastAsia="Times New Roman" w:hAnsi="Times New Roman" w:cs="Times New Roman"/>
          <w:color w:val="000000"/>
          <w:sz w:val="24"/>
          <w:szCs w:val="24"/>
          <w:lang w:eastAsia="ru-RU"/>
        </w:rPr>
        <w:br/>
      </w:r>
      <w:r w:rsidRPr="00E610B7">
        <w:rPr>
          <w:rFonts w:ascii="Times New Roman" w:eastAsia="Times New Roman" w:hAnsi="Times New Roman" w:cs="Times New Roman"/>
          <w:color w:val="000000"/>
          <w:sz w:val="24"/>
          <w:szCs w:val="24"/>
          <w:lang w:eastAsia="ru-RU"/>
        </w:rPr>
        <w:br/>
        <w:t>Вместе с тем, при рассмотрении аналогичных вопросов ФАС России установлено, что многие поставщики детского питания не могут поставить весь требуемый согласно техническому заданию ассортимент. При этом многие поставщики имеют возможность поставить часть требуемого ассортимента.</w:t>
      </w:r>
    </w:p>
    <w:p w:rsidR="00986FEC" w:rsidRDefault="00E610B7" w:rsidP="00E610B7">
      <w:pPr>
        <w:spacing w:after="101" w:line="240" w:lineRule="auto"/>
        <w:jc w:val="both"/>
        <w:rPr>
          <w:rFonts w:ascii="Times New Roman" w:eastAsia="Times New Roman" w:hAnsi="Times New Roman" w:cs="Times New Roman"/>
          <w:color w:val="000000"/>
          <w:sz w:val="24"/>
          <w:szCs w:val="24"/>
          <w:lang w:eastAsia="ru-RU"/>
        </w:rPr>
      </w:pPr>
      <w:r w:rsidRPr="00E610B7">
        <w:rPr>
          <w:rFonts w:ascii="Times New Roman" w:eastAsia="Times New Roman" w:hAnsi="Times New Roman" w:cs="Times New Roman"/>
          <w:color w:val="000000"/>
          <w:sz w:val="24"/>
          <w:szCs w:val="24"/>
          <w:lang w:eastAsia="ru-RU"/>
        </w:rPr>
        <w:br/>
      </w:r>
      <w:r w:rsidRPr="00E610B7">
        <w:rPr>
          <w:rFonts w:ascii="Times New Roman" w:eastAsia="Times New Roman" w:hAnsi="Times New Roman" w:cs="Times New Roman"/>
          <w:color w:val="000000"/>
          <w:sz w:val="24"/>
          <w:szCs w:val="24"/>
          <w:lang w:eastAsia="ru-RU"/>
        </w:rPr>
        <w:br/>
        <w:t>Таким образом, в случае разделения крупного лота на несколько, количество потенциальных участников аукциона увеличится. Разделение продуктов детского питания на лоты при проведении подобных аукционов способствует развитию конкуренции, в том числе делает доступным прямое участие в аукционах производителей.</w:t>
      </w:r>
      <w:r w:rsidRPr="00E610B7">
        <w:rPr>
          <w:rFonts w:ascii="Times New Roman" w:eastAsia="Times New Roman" w:hAnsi="Times New Roman" w:cs="Times New Roman"/>
          <w:color w:val="000000"/>
          <w:sz w:val="24"/>
          <w:szCs w:val="24"/>
          <w:lang w:eastAsia="ru-RU"/>
        </w:rPr>
        <w:br/>
      </w:r>
      <w:r w:rsidRPr="00E610B7">
        <w:rPr>
          <w:rFonts w:ascii="Times New Roman" w:eastAsia="Times New Roman" w:hAnsi="Times New Roman" w:cs="Times New Roman"/>
          <w:color w:val="000000"/>
          <w:sz w:val="24"/>
          <w:szCs w:val="24"/>
          <w:lang w:eastAsia="ru-RU"/>
        </w:rPr>
        <w:br/>
      </w:r>
      <w:proofErr w:type="gramStart"/>
      <w:r w:rsidRPr="00E610B7">
        <w:rPr>
          <w:rFonts w:ascii="Times New Roman" w:eastAsia="Times New Roman" w:hAnsi="Times New Roman" w:cs="Times New Roman"/>
          <w:color w:val="000000"/>
          <w:sz w:val="24"/>
          <w:szCs w:val="24"/>
          <w:lang w:eastAsia="ru-RU"/>
        </w:rPr>
        <w:t xml:space="preserve">При размещении заказа заказчик наделен правом самостоятельного выделения лотов, однако подобное объединение не должно входить в противоречие с общими принципами Закона о контрактной системе в части обеспечения потенциальным претендентам </w:t>
      </w:r>
      <w:r w:rsidRPr="00E610B7">
        <w:rPr>
          <w:rFonts w:ascii="Times New Roman" w:eastAsia="Times New Roman" w:hAnsi="Times New Roman" w:cs="Times New Roman"/>
          <w:color w:val="000000"/>
          <w:sz w:val="24"/>
          <w:szCs w:val="24"/>
          <w:lang w:eastAsia="ru-RU"/>
        </w:rPr>
        <w:lastRenderedPageBreak/>
        <w:t>гарантий по реализации их права на участие в торгах, эффективность использования бюджетных средств и развитие добросовестной конкуренции, а также соблюдать требования статьи 17 Закона о защите конкуренции, запрещающей совершение любых действий</w:t>
      </w:r>
      <w:proofErr w:type="gramEnd"/>
      <w:r w:rsidRPr="00E610B7">
        <w:rPr>
          <w:rFonts w:ascii="Times New Roman" w:eastAsia="Times New Roman" w:hAnsi="Times New Roman" w:cs="Times New Roman"/>
          <w:color w:val="000000"/>
          <w:sz w:val="24"/>
          <w:szCs w:val="24"/>
          <w:lang w:eastAsia="ru-RU"/>
        </w:rPr>
        <w:t>, которые приводят или могут привести к недопущению, ограничению или устранению конкуренции при проведении торгов.</w:t>
      </w:r>
      <w:r w:rsidRPr="00986FEC">
        <w:rPr>
          <w:rFonts w:ascii="Times New Roman" w:eastAsia="Times New Roman" w:hAnsi="Times New Roman" w:cs="Times New Roman"/>
          <w:color w:val="000000"/>
          <w:sz w:val="24"/>
          <w:szCs w:val="24"/>
          <w:lang w:eastAsia="ru-RU"/>
        </w:rPr>
        <w:t> </w:t>
      </w:r>
    </w:p>
    <w:p w:rsidR="00E610B7" w:rsidRPr="00E610B7" w:rsidRDefault="00E610B7" w:rsidP="00E610B7">
      <w:pPr>
        <w:spacing w:after="101" w:line="240" w:lineRule="auto"/>
        <w:jc w:val="both"/>
        <w:rPr>
          <w:rFonts w:ascii="Tahoma" w:eastAsia="Times New Roman" w:hAnsi="Tahoma" w:cs="Tahoma"/>
          <w:color w:val="000000"/>
          <w:sz w:val="12"/>
          <w:szCs w:val="12"/>
          <w:lang w:eastAsia="ru-RU"/>
        </w:rPr>
      </w:pPr>
      <w:r w:rsidRPr="00E610B7">
        <w:rPr>
          <w:rFonts w:ascii="Times New Roman" w:eastAsia="Times New Roman" w:hAnsi="Times New Roman" w:cs="Times New Roman"/>
          <w:color w:val="000000"/>
          <w:sz w:val="24"/>
          <w:szCs w:val="24"/>
          <w:lang w:eastAsia="ru-RU"/>
        </w:rPr>
        <w:br/>
      </w:r>
      <w:r w:rsidRPr="00E610B7">
        <w:rPr>
          <w:rFonts w:ascii="Times New Roman" w:eastAsia="Times New Roman" w:hAnsi="Times New Roman" w:cs="Times New Roman"/>
          <w:color w:val="000000"/>
          <w:sz w:val="24"/>
          <w:szCs w:val="24"/>
          <w:lang w:eastAsia="ru-RU"/>
        </w:rPr>
        <w:br/>
        <w:t>Таким образом, укрупнение лота влечет за собой ограничение конкуренции при проведении торгов ввиду сокращения числа хозяйствующих субъектов, которые могли принять участие в аукционе, и приводит к неэффективному расходованию бюджетных средств.</w:t>
      </w:r>
      <w:r w:rsidRPr="00E610B7">
        <w:rPr>
          <w:rFonts w:ascii="Tahoma" w:eastAsia="Times New Roman" w:hAnsi="Tahoma" w:cs="Tahoma"/>
          <w:color w:val="000000"/>
          <w:sz w:val="12"/>
          <w:szCs w:val="12"/>
          <w:lang w:eastAsia="ru-RU"/>
        </w:rPr>
        <w:br/>
      </w:r>
      <w:r w:rsidRPr="00E610B7">
        <w:rPr>
          <w:rFonts w:ascii="Tahoma" w:eastAsia="Times New Roman" w:hAnsi="Tahoma" w:cs="Tahoma"/>
          <w:color w:val="000000"/>
          <w:sz w:val="12"/>
          <w:szCs w:val="12"/>
          <w:lang w:eastAsia="ru-RU"/>
        </w:rPr>
        <w:br/>
        <w:t> </w:t>
      </w:r>
    </w:p>
    <w:p w:rsidR="00361820" w:rsidRDefault="007A2D81">
      <w:r>
        <w:rPr>
          <w:rFonts w:ascii="Tahoma" w:eastAsia="Times New Roman" w:hAnsi="Tahoma" w:cs="Tahoma"/>
          <w:b/>
          <w:bCs/>
          <w:i/>
          <w:iCs/>
          <w:color w:val="000000"/>
          <w:sz w:val="12"/>
          <w:lang w:eastAsia="ru-RU"/>
        </w:rPr>
        <w:t xml:space="preserve">Источник: </w:t>
      </w:r>
      <w:hyperlink r:id="rId4" w:history="1">
        <w:r w:rsidRPr="00DA7304">
          <w:rPr>
            <w:rStyle w:val="a8"/>
            <w:rFonts w:ascii="Tahoma" w:eastAsia="Times New Roman" w:hAnsi="Tahoma" w:cs="Tahoma"/>
            <w:b/>
            <w:bCs/>
            <w:i/>
            <w:iCs/>
            <w:sz w:val="12"/>
            <w:lang w:eastAsia="ru-RU"/>
          </w:rPr>
          <w:t>http://www.fas.gov.ru/clarifications/clarifications_30484.html</w:t>
        </w:r>
      </w:hyperlink>
      <w:r>
        <w:rPr>
          <w:rFonts w:ascii="Tahoma" w:eastAsia="Times New Roman" w:hAnsi="Tahoma" w:cs="Tahoma"/>
          <w:b/>
          <w:bCs/>
          <w:i/>
          <w:iCs/>
          <w:color w:val="000000"/>
          <w:sz w:val="12"/>
          <w:lang w:eastAsia="ru-RU"/>
        </w:rPr>
        <w:t xml:space="preserve"> . </w:t>
      </w:r>
    </w:p>
    <w:p w:rsidR="007A2D81" w:rsidRDefault="007A2D81"/>
    <w:sectPr w:rsidR="007A2D81" w:rsidSect="003618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E610B7"/>
    <w:rsid w:val="00011F95"/>
    <w:rsid w:val="000C5D2A"/>
    <w:rsid w:val="00225727"/>
    <w:rsid w:val="00355749"/>
    <w:rsid w:val="00361820"/>
    <w:rsid w:val="004332FC"/>
    <w:rsid w:val="00503257"/>
    <w:rsid w:val="005205FC"/>
    <w:rsid w:val="005911F7"/>
    <w:rsid w:val="0061502D"/>
    <w:rsid w:val="007A2D81"/>
    <w:rsid w:val="00986FEC"/>
    <w:rsid w:val="00A84549"/>
    <w:rsid w:val="00B221DD"/>
    <w:rsid w:val="00CE7807"/>
    <w:rsid w:val="00E610B7"/>
    <w:rsid w:val="00E81E97"/>
    <w:rsid w:val="00EB43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820"/>
  </w:style>
  <w:style w:type="paragraph" w:styleId="1">
    <w:name w:val="heading 1"/>
    <w:basedOn w:val="a"/>
    <w:link w:val="10"/>
    <w:uiPriority w:val="9"/>
    <w:qFormat/>
    <w:rsid w:val="00E610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10B7"/>
    <w:rPr>
      <w:rFonts w:ascii="Times New Roman" w:eastAsia="Times New Roman" w:hAnsi="Times New Roman" w:cs="Times New Roman"/>
      <w:b/>
      <w:bCs/>
      <w:kern w:val="36"/>
      <w:sz w:val="48"/>
      <w:szCs w:val="48"/>
      <w:lang w:eastAsia="ru-RU"/>
    </w:rPr>
  </w:style>
  <w:style w:type="character" w:customStyle="1" w:styleId="date">
    <w:name w:val="date"/>
    <w:basedOn w:val="a0"/>
    <w:rsid w:val="00E610B7"/>
  </w:style>
  <w:style w:type="character" w:customStyle="1" w:styleId="apple-converted-space">
    <w:name w:val="apple-converted-space"/>
    <w:basedOn w:val="a0"/>
    <w:rsid w:val="00E610B7"/>
  </w:style>
  <w:style w:type="paragraph" w:styleId="a3">
    <w:name w:val="Normal (Web)"/>
    <w:basedOn w:val="a"/>
    <w:uiPriority w:val="99"/>
    <w:semiHidden/>
    <w:unhideWhenUsed/>
    <w:rsid w:val="00E610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610B7"/>
    <w:rPr>
      <w:i/>
      <w:iCs/>
    </w:rPr>
  </w:style>
  <w:style w:type="character" w:styleId="a5">
    <w:name w:val="Strong"/>
    <w:basedOn w:val="a0"/>
    <w:uiPriority w:val="22"/>
    <w:qFormat/>
    <w:rsid w:val="00E610B7"/>
    <w:rPr>
      <w:b/>
      <w:bCs/>
    </w:rPr>
  </w:style>
  <w:style w:type="paragraph" w:styleId="a6">
    <w:name w:val="Balloon Text"/>
    <w:basedOn w:val="a"/>
    <w:link w:val="a7"/>
    <w:uiPriority w:val="99"/>
    <w:semiHidden/>
    <w:unhideWhenUsed/>
    <w:rsid w:val="00E610B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610B7"/>
    <w:rPr>
      <w:rFonts w:ascii="Tahoma" w:hAnsi="Tahoma" w:cs="Tahoma"/>
      <w:sz w:val="16"/>
      <w:szCs w:val="16"/>
    </w:rPr>
  </w:style>
  <w:style w:type="character" w:styleId="a8">
    <w:name w:val="Hyperlink"/>
    <w:basedOn w:val="a0"/>
    <w:uiPriority w:val="99"/>
    <w:unhideWhenUsed/>
    <w:rsid w:val="007A2D8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13828503">
      <w:bodyDiv w:val="1"/>
      <w:marLeft w:val="0"/>
      <w:marRight w:val="0"/>
      <w:marTop w:val="0"/>
      <w:marBottom w:val="0"/>
      <w:divBdr>
        <w:top w:val="none" w:sz="0" w:space="0" w:color="auto"/>
        <w:left w:val="none" w:sz="0" w:space="0" w:color="auto"/>
        <w:bottom w:val="none" w:sz="0" w:space="0" w:color="auto"/>
        <w:right w:val="none" w:sz="0" w:space="0" w:color="auto"/>
      </w:divBdr>
      <w:divsChild>
        <w:div w:id="1501700531">
          <w:marLeft w:val="0"/>
          <w:marRight w:val="0"/>
          <w:marTop w:val="0"/>
          <w:marBottom w:val="193"/>
          <w:divBdr>
            <w:top w:val="none" w:sz="0" w:space="0" w:color="auto"/>
            <w:left w:val="none" w:sz="0" w:space="0" w:color="auto"/>
            <w:bottom w:val="none" w:sz="0" w:space="0" w:color="auto"/>
            <w:right w:val="none" w:sz="0" w:space="0" w:color="auto"/>
          </w:divBdr>
        </w:div>
        <w:div w:id="448931905">
          <w:marLeft w:val="0"/>
          <w:marRight w:val="0"/>
          <w:marTop w:val="0"/>
          <w:marBottom w:val="0"/>
          <w:divBdr>
            <w:top w:val="none" w:sz="0" w:space="0" w:color="auto"/>
            <w:left w:val="none" w:sz="0" w:space="0" w:color="auto"/>
            <w:bottom w:val="none" w:sz="0" w:space="0" w:color="auto"/>
            <w:right w:val="none" w:sz="0" w:space="0" w:color="auto"/>
          </w:divBdr>
          <w:divsChild>
            <w:div w:id="793014839">
              <w:marLeft w:val="0"/>
              <w:marRight w:val="0"/>
              <w:marTop w:val="0"/>
              <w:marBottom w:val="0"/>
              <w:divBdr>
                <w:top w:val="none" w:sz="0" w:space="0" w:color="auto"/>
                <w:left w:val="none" w:sz="0" w:space="0" w:color="auto"/>
                <w:bottom w:val="none" w:sz="0" w:space="0" w:color="auto"/>
                <w:right w:val="none" w:sz="0" w:space="0" w:color="auto"/>
              </w:divBdr>
              <w:divsChild>
                <w:div w:id="1605914587">
                  <w:marLeft w:val="0"/>
                  <w:marRight w:val="0"/>
                  <w:marTop w:val="0"/>
                  <w:marBottom w:val="0"/>
                  <w:divBdr>
                    <w:top w:val="none" w:sz="0" w:space="0" w:color="auto"/>
                    <w:left w:val="none" w:sz="0" w:space="0" w:color="auto"/>
                    <w:bottom w:val="none" w:sz="0" w:space="0" w:color="auto"/>
                    <w:right w:val="none" w:sz="0" w:space="0" w:color="auto"/>
                  </w:divBdr>
                </w:div>
                <w:div w:id="716470271">
                  <w:marLeft w:val="0"/>
                  <w:marRight w:val="0"/>
                  <w:marTop w:val="0"/>
                  <w:marBottom w:val="0"/>
                  <w:divBdr>
                    <w:top w:val="none" w:sz="0" w:space="0" w:color="auto"/>
                    <w:left w:val="none" w:sz="0" w:space="0" w:color="auto"/>
                    <w:bottom w:val="none" w:sz="0" w:space="0" w:color="auto"/>
                    <w:right w:val="none" w:sz="0" w:space="0" w:color="auto"/>
                  </w:divBdr>
                </w:div>
              </w:divsChild>
            </w:div>
            <w:div w:id="1821117064">
              <w:marLeft w:val="0"/>
              <w:marRight w:val="0"/>
              <w:marTop w:val="0"/>
              <w:marBottom w:val="101"/>
              <w:divBdr>
                <w:top w:val="none" w:sz="0" w:space="0" w:color="auto"/>
                <w:left w:val="none" w:sz="0" w:space="0" w:color="auto"/>
                <w:bottom w:val="none" w:sz="0" w:space="0" w:color="auto"/>
                <w:right w:val="none" w:sz="0" w:space="0" w:color="auto"/>
              </w:divBdr>
              <w:divsChild>
                <w:div w:id="151179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as.gov.ru/clarifications/clarifications_3048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1009</Words>
  <Characters>5757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DK MFRT</Company>
  <LinksUpToDate>false</LinksUpToDate>
  <CharactersWithSpaces>6753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gup_crz_13</dc:creator>
  <cp:keywords/>
  <dc:description/>
  <cp:lastModifiedBy>gup_crz_13</cp:lastModifiedBy>
  <cp:revision>5</cp:revision>
  <dcterms:created xsi:type="dcterms:W3CDTF">2014-12-01T06:58:00Z</dcterms:created>
  <dcterms:modified xsi:type="dcterms:W3CDTF">2014-12-01T07:34:00Z</dcterms:modified>
</cp:coreProperties>
</file>