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795" w:rsidRDefault="00FD6795">
      <w:pPr>
        <w:pStyle w:val="ConsPlusTitlePage"/>
      </w:pPr>
      <w:bookmarkStart w:id="0" w:name="_GoBack"/>
      <w:bookmarkEnd w:id="0"/>
      <w:r>
        <w:br/>
      </w:r>
    </w:p>
    <w:p w:rsidR="00FD6795" w:rsidRDefault="00FD6795">
      <w:pPr>
        <w:pStyle w:val="ConsPlusNormal"/>
        <w:ind w:firstLine="540"/>
        <w:jc w:val="both"/>
        <w:outlineLvl w:val="0"/>
      </w:pPr>
    </w:p>
    <w:p w:rsidR="00FD6795" w:rsidRDefault="00FD6795">
      <w:pPr>
        <w:pStyle w:val="ConsPlusTitle"/>
        <w:jc w:val="center"/>
      </w:pPr>
      <w:r>
        <w:t>АРБИТРАЖНЫЙ СУД ПОВОЛЖСКОГО ОКРУГА</w:t>
      </w:r>
    </w:p>
    <w:p w:rsidR="00FD6795" w:rsidRDefault="00FD6795">
      <w:pPr>
        <w:pStyle w:val="ConsPlusTitle"/>
        <w:jc w:val="center"/>
      </w:pPr>
    </w:p>
    <w:p w:rsidR="00FD6795" w:rsidRDefault="00FD6795">
      <w:pPr>
        <w:pStyle w:val="ConsPlusTitle"/>
        <w:jc w:val="center"/>
      </w:pPr>
      <w:r>
        <w:t>ПОСТАНОВЛЕНИЕ</w:t>
      </w:r>
    </w:p>
    <w:p w:rsidR="00FD6795" w:rsidRDefault="00FD6795">
      <w:pPr>
        <w:pStyle w:val="ConsPlusTitle"/>
        <w:jc w:val="center"/>
      </w:pPr>
      <w:r>
        <w:t>от 27 апреля 2018 г. N Ф06-32341/2018</w:t>
      </w:r>
    </w:p>
    <w:p w:rsidR="00FD6795" w:rsidRDefault="00FD6795">
      <w:pPr>
        <w:pStyle w:val="ConsPlusNormal"/>
        <w:ind w:firstLine="540"/>
        <w:jc w:val="both"/>
      </w:pPr>
    </w:p>
    <w:p w:rsidR="00FD6795" w:rsidRDefault="00FD6795">
      <w:pPr>
        <w:pStyle w:val="ConsPlusNormal"/>
        <w:jc w:val="right"/>
      </w:pPr>
      <w:r>
        <w:t>Дело N А65-13017/2017</w:t>
      </w:r>
    </w:p>
    <w:p w:rsidR="00FD6795" w:rsidRDefault="00FD6795">
      <w:pPr>
        <w:pStyle w:val="ConsPlusNormal"/>
        <w:ind w:firstLine="540"/>
        <w:jc w:val="both"/>
      </w:pPr>
    </w:p>
    <w:p w:rsidR="00FD6795" w:rsidRDefault="00FD6795">
      <w:pPr>
        <w:pStyle w:val="ConsPlusNormal"/>
        <w:ind w:firstLine="540"/>
        <w:jc w:val="both"/>
      </w:pPr>
      <w:r>
        <w:t>Резолютивная часть постановления объявлена 24 апреля 2018 года.</w:t>
      </w:r>
    </w:p>
    <w:p w:rsidR="00FD6795" w:rsidRDefault="00FD6795">
      <w:pPr>
        <w:pStyle w:val="ConsPlusNormal"/>
        <w:spacing w:before="220"/>
        <w:ind w:firstLine="540"/>
        <w:jc w:val="both"/>
      </w:pPr>
      <w:r>
        <w:t>Полный текст постановления изготовлен 27 апреля 2018 года.</w:t>
      </w:r>
    </w:p>
    <w:p w:rsidR="00FD6795" w:rsidRDefault="00FD6795">
      <w:pPr>
        <w:pStyle w:val="ConsPlusNormal"/>
        <w:spacing w:before="220"/>
        <w:ind w:firstLine="540"/>
        <w:jc w:val="both"/>
      </w:pPr>
      <w:r>
        <w:t>Арбитражный суд Поволжского округа в составе:</w:t>
      </w:r>
    </w:p>
    <w:p w:rsidR="00FD6795" w:rsidRDefault="00FD6795">
      <w:pPr>
        <w:pStyle w:val="ConsPlusNormal"/>
        <w:spacing w:before="220"/>
        <w:ind w:firstLine="540"/>
        <w:jc w:val="both"/>
      </w:pPr>
      <w:r>
        <w:t>председательствующего судьи Мельниковой Н.Ю.,</w:t>
      </w:r>
    </w:p>
    <w:p w:rsidR="00FD6795" w:rsidRDefault="00FD6795">
      <w:pPr>
        <w:pStyle w:val="ConsPlusNormal"/>
        <w:spacing w:before="220"/>
        <w:ind w:firstLine="540"/>
        <w:jc w:val="both"/>
      </w:pPr>
      <w:r>
        <w:t xml:space="preserve">судей </w:t>
      </w:r>
      <w:proofErr w:type="spellStart"/>
      <w:r>
        <w:t>Сабирова</w:t>
      </w:r>
      <w:proofErr w:type="spellEnd"/>
      <w:r>
        <w:t xml:space="preserve"> М.М., </w:t>
      </w:r>
      <w:proofErr w:type="spellStart"/>
      <w:r>
        <w:t>Вильданова</w:t>
      </w:r>
      <w:proofErr w:type="spellEnd"/>
      <w:r>
        <w:t xml:space="preserve"> Р.А.,</w:t>
      </w:r>
    </w:p>
    <w:p w:rsidR="00FD6795" w:rsidRDefault="00FD6795">
      <w:pPr>
        <w:pStyle w:val="ConsPlusNormal"/>
        <w:spacing w:before="220"/>
        <w:ind w:firstLine="540"/>
        <w:jc w:val="both"/>
      </w:pPr>
      <w:r>
        <w:t>при участии представителя:</w:t>
      </w:r>
    </w:p>
    <w:p w:rsidR="00FD6795" w:rsidRDefault="00FD6795">
      <w:pPr>
        <w:pStyle w:val="ConsPlusNormal"/>
        <w:spacing w:before="220"/>
        <w:ind w:firstLine="540"/>
        <w:jc w:val="both"/>
      </w:pPr>
      <w:r>
        <w:t>ответчика - Валеевой О.Ю., доверенность от 12.12.2016 N 188,</w:t>
      </w:r>
    </w:p>
    <w:p w:rsidR="00FD6795" w:rsidRDefault="00FD6795">
      <w:pPr>
        <w:pStyle w:val="ConsPlusNormal"/>
        <w:spacing w:before="220"/>
        <w:ind w:firstLine="540"/>
        <w:jc w:val="both"/>
      </w:pPr>
      <w:r>
        <w:t>в отсутствие иных лиц, участвующих в деле, извещенных надлежащим образом,</w:t>
      </w:r>
    </w:p>
    <w:p w:rsidR="00FD6795" w:rsidRDefault="00FD6795">
      <w:pPr>
        <w:pStyle w:val="ConsPlusNormal"/>
        <w:spacing w:before="220"/>
        <w:ind w:firstLine="540"/>
        <w:jc w:val="both"/>
      </w:pPr>
      <w:r>
        <w:t>рассмотрев в открытом судебном заседании кассационную жалобу государственного учреждения - регионального отделения Фонда социального страхования Российской Федерации по Республике Татарстан</w:t>
      </w:r>
    </w:p>
    <w:p w:rsidR="00FD6795" w:rsidRDefault="00FD6795">
      <w:pPr>
        <w:pStyle w:val="ConsPlusNormal"/>
        <w:spacing w:before="220"/>
        <w:ind w:firstLine="540"/>
        <w:jc w:val="both"/>
      </w:pPr>
      <w:r>
        <w:t xml:space="preserve">на решение Арбитражного суда Республики Татарстан от 03.10.2017 (судья </w:t>
      </w:r>
      <w:proofErr w:type="spellStart"/>
      <w:r>
        <w:t>Ситдиков</w:t>
      </w:r>
      <w:proofErr w:type="spellEnd"/>
      <w:r>
        <w:t xml:space="preserve"> Б.Ш.) и </w:t>
      </w:r>
      <w:hyperlink r:id="rId5" w:history="1">
        <w:r>
          <w:rPr>
            <w:color w:val="0000FF"/>
          </w:rPr>
          <w:t>постановление</w:t>
        </w:r>
      </w:hyperlink>
      <w:r>
        <w:t xml:space="preserve"> Одиннадцатого арбитражного апелляционного суда от 24.01.2018 (председательствующий судья </w:t>
      </w:r>
      <w:proofErr w:type="spellStart"/>
      <w:r>
        <w:t>Засыпкина</w:t>
      </w:r>
      <w:proofErr w:type="spellEnd"/>
      <w:r>
        <w:t xml:space="preserve"> Т.С., судьи Кувшинов В.Е., Кузнецов В.В.)</w:t>
      </w:r>
    </w:p>
    <w:p w:rsidR="00FD6795" w:rsidRDefault="00FD6795">
      <w:pPr>
        <w:pStyle w:val="ConsPlusNormal"/>
        <w:spacing w:before="220"/>
        <w:ind w:firstLine="540"/>
        <w:jc w:val="both"/>
      </w:pPr>
      <w:r>
        <w:t>по делу N А65-13017/2017</w:t>
      </w:r>
    </w:p>
    <w:p w:rsidR="00FD6795" w:rsidRDefault="00FD6795">
      <w:pPr>
        <w:pStyle w:val="ConsPlusNormal"/>
        <w:spacing w:before="220"/>
        <w:ind w:firstLine="540"/>
        <w:jc w:val="both"/>
      </w:pPr>
      <w:r>
        <w:t>по заявлению филиала "Казанский" Федерального государственного унитарного предприятия "Московское протезно-ортопедическое предприятие" Министерства труда и социальной защиты Российской Федерации (ОГРН 1037739258040) к государственному учреждению - региональному отделению Фонда социального страхования Российской Федерации по Республике Татарстан (ОГРН 1021602825640) о признании незаконным решения конкурсной комиссии (извещение N 0211100000117000054),</w:t>
      </w:r>
    </w:p>
    <w:p w:rsidR="00FD6795" w:rsidRDefault="00FD6795">
      <w:pPr>
        <w:pStyle w:val="ConsPlusNormal"/>
        <w:spacing w:before="220"/>
        <w:ind w:firstLine="540"/>
        <w:jc w:val="both"/>
      </w:pPr>
      <w:r>
        <w:t>при участии в деле в качестве третьего лица, не заявляющего самостоятельных требований относительно предмета спора - Управления Федеральной антимонопольной службы по Республике Татарстан</w:t>
      </w:r>
      <w:proofErr w:type="gramStart"/>
      <w:r>
        <w:t>.,</w:t>
      </w:r>
      <w:proofErr w:type="gramEnd"/>
    </w:p>
    <w:p w:rsidR="00FD6795" w:rsidRDefault="00FD6795">
      <w:pPr>
        <w:pStyle w:val="ConsPlusNormal"/>
        <w:jc w:val="center"/>
      </w:pPr>
    </w:p>
    <w:p w:rsidR="00FD6795" w:rsidRDefault="00FD6795">
      <w:pPr>
        <w:pStyle w:val="ConsPlusNormal"/>
        <w:jc w:val="center"/>
      </w:pPr>
      <w:r>
        <w:t>установил:</w:t>
      </w:r>
    </w:p>
    <w:p w:rsidR="00FD6795" w:rsidRDefault="00FD6795">
      <w:pPr>
        <w:pStyle w:val="ConsPlusNormal"/>
        <w:jc w:val="center"/>
      </w:pPr>
    </w:p>
    <w:p w:rsidR="00FD6795" w:rsidRDefault="00FD6795">
      <w:pPr>
        <w:pStyle w:val="ConsPlusNormal"/>
        <w:ind w:firstLine="540"/>
        <w:jc w:val="both"/>
      </w:pPr>
      <w:proofErr w:type="gramStart"/>
      <w:r>
        <w:t>филиал "Казанский" Федерального государственного унитарного предприятия "Московское протезно-ортопедическое предприятие" Министерства труда и социальной защиты Российской Федерации (далее - заявитель, Предприятие) обратился в Арбитражный суд Республики Татарстан с заявлением к Государственному учреждению - региональному отделению Фонда социального страхования Российской Федерации по Республике Татарстан (далее - Фонд) о признании незаконным решения конкурсной комиссии Фонда, оформленного протоколом рассмотрения и оценки заявок на участие в электронном аукционе</w:t>
      </w:r>
      <w:proofErr w:type="gramEnd"/>
      <w:r>
        <w:t xml:space="preserve"> по определению исполнителя на выполнение </w:t>
      </w:r>
      <w:r>
        <w:lastRenderedPageBreak/>
        <w:t>работ по изготовлению протезов нижних конечностей для инвалидов и отдельных категорий граждан из числа ветеранов (извещение N 0211100000117000054).</w:t>
      </w:r>
    </w:p>
    <w:p w:rsidR="00FD6795" w:rsidRDefault="00FD6795">
      <w:pPr>
        <w:pStyle w:val="ConsPlusNormal"/>
        <w:spacing w:before="220"/>
        <w:ind w:firstLine="540"/>
        <w:jc w:val="both"/>
      </w:pPr>
      <w:r>
        <w:t xml:space="preserve">Определением Арбитражного суда Республики Татарстан от 11.07.2017 к участию в деле в порядке </w:t>
      </w:r>
      <w:hyperlink r:id="rId6" w:history="1">
        <w:r>
          <w:rPr>
            <w:color w:val="0000FF"/>
          </w:rPr>
          <w:t>статьи 51</w:t>
        </w:r>
      </w:hyperlink>
      <w:r>
        <w:t xml:space="preserve"> Арбитражного процессуального кодекса Российской Федерации (далее - АПК РФ) в качестве третьего лица, не заявляющего самостоятельных требований относительно предмета спора, привлечено Управление Федеральной антимонопольной службы по Республике Татарстан (далее - антимонопольный орган, третье лицо).</w:t>
      </w:r>
    </w:p>
    <w:p w:rsidR="00FD6795" w:rsidRDefault="00FD6795">
      <w:pPr>
        <w:pStyle w:val="ConsPlusNormal"/>
        <w:spacing w:before="220"/>
        <w:ind w:firstLine="540"/>
        <w:jc w:val="both"/>
      </w:pPr>
      <w:r>
        <w:t>Решением Арбитражного суда Республики Татарстан от 03.10.2017 по делу N А65-13017/2017 заявленные требования удовлетворены.</w:t>
      </w:r>
    </w:p>
    <w:p w:rsidR="00FD6795" w:rsidRDefault="00FD6795">
      <w:pPr>
        <w:pStyle w:val="ConsPlusNormal"/>
        <w:spacing w:before="220"/>
        <w:ind w:firstLine="540"/>
        <w:jc w:val="both"/>
      </w:pPr>
      <w:hyperlink r:id="rId7" w:history="1">
        <w:r>
          <w:rPr>
            <w:color w:val="0000FF"/>
          </w:rPr>
          <w:t>Постановлением</w:t>
        </w:r>
      </w:hyperlink>
      <w:r>
        <w:t xml:space="preserve"> Одиннадцатого арбитражного апелляционного суда от 24.01.2018 решение Арбитражного суда Республики Татарстан от 03.10.2017 оставлено без изменения.</w:t>
      </w:r>
    </w:p>
    <w:p w:rsidR="00FD6795" w:rsidRDefault="00FD6795">
      <w:pPr>
        <w:pStyle w:val="ConsPlusNormal"/>
        <w:spacing w:before="220"/>
        <w:ind w:firstLine="540"/>
        <w:jc w:val="both"/>
      </w:pPr>
      <w:r>
        <w:t xml:space="preserve">Не согласившись с решением арбитражного суда и </w:t>
      </w:r>
      <w:hyperlink r:id="rId8" w:history="1">
        <w:r>
          <w:rPr>
            <w:color w:val="0000FF"/>
          </w:rPr>
          <w:t>постановлением</w:t>
        </w:r>
      </w:hyperlink>
      <w:r>
        <w:t xml:space="preserve"> арбитражного апелляционного суда, Фонд обратился в Арбитражный суд Поволжского округа с кассационной жалобой, в которой просит обжалуемые судебные акты отменить, прекратить производство по делу.</w:t>
      </w:r>
    </w:p>
    <w:p w:rsidR="00FD6795" w:rsidRDefault="00FD6795">
      <w:pPr>
        <w:pStyle w:val="ConsPlusNormal"/>
        <w:spacing w:before="220"/>
        <w:ind w:firstLine="540"/>
        <w:jc w:val="both"/>
      </w:pPr>
      <w:r>
        <w:t>В своей жалобе Фонд ссылается на нарушение судами норм материального и процессуального права.</w:t>
      </w:r>
    </w:p>
    <w:p w:rsidR="00FD6795" w:rsidRDefault="00FD6795">
      <w:pPr>
        <w:pStyle w:val="ConsPlusNormal"/>
        <w:spacing w:before="220"/>
        <w:ind w:firstLine="540"/>
        <w:jc w:val="both"/>
      </w:pPr>
      <w:r>
        <w:t xml:space="preserve">Изучив материалы дела, заслушав представителя Фонда, обсудив доводы кассационной жалобы, проверив в соответствии с </w:t>
      </w:r>
      <w:hyperlink r:id="rId9" w:history="1">
        <w:r>
          <w:rPr>
            <w:color w:val="0000FF"/>
          </w:rPr>
          <w:t>пунктом 1 статьи 286</w:t>
        </w:r>
      </w:hyperlink>
      <w:r>
        <w:t xml:space="preserve"> АПК РФ правильность применения судами первой и апелляционной инстанций норм материального и процессуального права, суд округа приходит к выводу об отсутствии оснований для удовлетворения кассационной жалобы ввиду следующего.</w:t>
      </w:r>
    </w:p>
    <w:p w:rsidR="00FD6795" w:rsidRDefault="00FD6795">
      <w:pPr>
        <w:pStyle w:val="ConsPlusNormal"/>
        <w:spacing w:before="220"/>
        <w:ind w:firstLine="540"/>
        <w:jc w:val="both"/>
      </w:pPr>
      <w:r>
        <w:t>Как следует из материалов дела, Фондом, как государственным заказчиком, было размещено извещение о проведении электронного аукциона по определению исполнителя на выполнение работ по изготовлению протезов нижних конечностей для инвалидов и отдельных категорий граждан из числа ветеранов (извещение N 0211100000117000054).</w:t>
      </w:r>
    </w:p>
    <w:p w:rsidR="00FD6795" w:rsidRDefault="00FD6795">
      <w:pPr>
        <w:pStyle w:val="ConsPlusNormal"/>
        <w:spacing w:before="220"/>
        <w:ind w:firstLine="540"/>
        <w:jc w:val="both"/>
      </w:pPr>
      <w:r>
        <w:t>Начальная максимальная цена контракта 15 632 908 руб.</w:t>
      </w:r>
    </w:p>
    <w:p w:rsidR="00FD6795" w:rsidRDefault="00FD6795">
      <w:pPr>
        <w:pStyle w:val="ConsPlusNormal"/>
        <w:spacing w:before="220"/>
        <w:ind w:firstLine="540"/>
        <w:jc w:val="both"/>
      </w:pPr>
      <w:r>
        <w:t>Заявителем была подана заявка на участие в данном аукционе.</w:t>
      </w:r>
    </w:p>
    <w:p w:rsidR="00FD6795" w:rsidRDefault="00FD6795">
      <w:pPr>
        <w:pStyle w:val="ConsPlusNormal"/>
        <w:spacing w:before="220"/>
        <w:ind w:firstLine="540"/>
        <w:jc w:val="both"/>
      </w:pPr>
      <w:r>
        <w:t>Согласно протоколу от 22.03.2017 N 0211100000117000054 комиссией Заказчика рассмотрены первые части заявок на участие в указанном аукционе.</w:t>
      </w:r>
    </w:p>
    <w:p w:rsidR="00FD6795" w:rsidRDefault="00FD6795">
      <w:pPr>
        <w:pStyle w:val="ConsPlusNormal"/>
        <w:spacing w:before="220"/>
        <w:ind w:firstLine="540"/>
        <w:jc w:val="both"/>
      </w:pPr>
      <w:proofErr w:type="gramStart"/>
      <w:r>
        <w:t xml:space="preserve">По результатам рассмотрения первых частей заявок Предприятию отказано в допуске к участию в электронных аукционах (заявка N 1), заявка предприятия признана не соответствующей </w:t>
      </w:r>
      <w:hyperlink r:id="rId10" w:history="1">
        <w:r>
          <w:rPr>
            <w:color w:val="0000FF"/>
          </w:rPr>
          <w:t>части 3 статьи 66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Закон о контрактной системе), разделу 1.4 аукционной документации</w:t>
      </w:r>
      <w:proofErr w:type="gramEnd"/>
      <w:r>
        <w:t>, части 3 "Техническое задание" документации об электронном аукционе.</w:t>
      </w:r>
    </w:p>
    <w:p w:rsidR="00FD6795" w:rsidRDefault="00FD6795">
      <w:pPr>
        <w:pStyle w:val="ConsPlusNormal"/>
        <w:spacing w:before="220"/>
        <w:ind w:firstLine="540"/>
        <w:jc w:val="both"/>
      </w:pPr>
      <w:r>
        <w:t>Основанием для отказа Фондом в допуске Предприятия к участию в аукционе явилось несоответствие первой части заявки требованиям аукционной документации. В заявке участника вместо словесного обозначения применены приемы вставки рисунка, отображающего товарный знак, также не представлено описания примененного товарного знака (рисунка).</w:t>
      </w:r>
    </w:p>
    <w:p w:rsidR="00FD6795" w:rsidRDefault="00FD6795">
      <w:pPr>
        <w:pStyle w:val="ConsPlusNormal"/>
        <w:spacing w:before="220"/>
        <w:ind w:firstLine="540"/>
        <w:jc w:val="both"/>
      </w:pPr>
      <w:r>
        <w:t xml:space="preserve">Вместо словесного описания товарного знака присутствует картинка, которая далее в заявке никаким образом не разъясняется, и заявка не имеет приложения в виде зарегистрированного товарного знака и его описания, имеющаяся картинка может быть трактована и прочитана </w:t>
      </w:r>
      <w:r>
        <w:lastRenderedPageBreak/>
        <w:t>неоднозначно в виде: ATTO BOCK, ATTO ROCR, OTTO ROCK, OTTO BOCR....</w:t>
      </w:r>
    </w:p>
    <w:p w:rsidR="00FD6795" w:rsidRDefault="00FD6795">
      <w:pPr>
        <w:pStyle w:val="ConsPlusNormal"/>
        <w:spacing w:before="220"/>
        <w:ind w:firstLine="540"/>
        <w:jc w:val="both"/>
      </w:pPr>
      <w:r>
        <w:t>По мнению Фонда, все вышеперечисленное не позволяет определить соответствие предлагаемого к поставке товара предъявляемым требованиям, установленным частью 3 "Техническое задание" документации об электронном аукционе.</w:t>
      </w:r>
    </w:p>
    <w:p w:rsidR="00FD6795" w:rsidRDefault="00FD6795">
      <w:pPr>
        <w:pStyle w:val="ConsPlusNormal"/>
        <w:spacing w:before="220"/>
        <w:ind w:firstLine="540"/>
        <w:jc w:val="both"/>
      </w:pPr>
      <w:r>
        <w:t>Заявитель обращался с жалобой в антимонопольный орган на действия заказчика, которая была признана необоснованной.</w:t>
      </w:r>
    </w:p>
    <w:p w:rsidR="00FD6795" w:rsidRDefault="00FD6795">
      <w:pPr>
        <w:pStyle w:val="ConsPlusNormal"/>
        <w:spacing w:before="220"/>
        <w:ind w:firstLine="540"/>
        <w:jc w:val="both"/>
      </w:pPr>
      <w:r>
        <w:t>Не согласившись с основаниями отказа в допуске к участию в электронном аукционе, заявитель обратился в арбитражный суд с заявлением.</w:t>
      </w:r>
    </w:p>
    <w:p w:rsidR="00FD6795" w:rsidRDefault="00FD6795">
      <w:pPr>
        <w:pStyle w:val="ConsPlusNormal"/>
        <w:spacing w:before="220"/>
        <w:ind w:firstLine="540"/>
        <w:jc w:val="both"/>
      </w:pPr>
      <w:r>
        <w:t>Удовлетворяя исковые требования, суды первой и апелляционной инстанций исходили из следующего.</w:t>
      </w:r>
    </w:p>
    <w:p w:rsidR="00FD6795" w:rsidRDefault="00FD6795">
      <w:pPr>
        <w:pStyle w:val="ConsPlusNormal"/>
        <w:spacing w:before="220"/>
        <w:ind w:firstLine="540"/>
        <w:jc w:val="both"/>
      </w:pPr>
      <w:r>
        <w:t xml:space="preserve">В соответствии с </w:t>
      </w:r>
      <w:hyperlink r:id="rId11" w:history="1">
        <w:r>
          <w:rPr>
            <w:color w:val="0000FF"/>
          </w:rPr>
          <w:t>частью 1 статьи 67</w:t>
        </w:r>
      </w:hyperlink>
      <w:r>
        <w:t xml:space="preserve"> Закона о контрактной системе аукционная комиссия проверяет первые части заявок на участие в электронном аукционе, содержащие информацию, предусмотренную </w:t>
      </w:r>
      <w:hyperlink r:id="rId12" w:history="1">
        <w:r>
          <w:rPr>
            <w:color w:val="0000FF"/>
          </w:rPr>
          <w:t>частью 3 статьи 66</w:t>
        </w:r>
      </w:hyperlink>
      <w:r>
        <w:t xml:space="preserve"> Закона о контрактной системе, на соответствие требованиям, установленным документацией о таком аукционе в отношении закупаемых товаров, работ, услуг.</w:t>
      </w:r>
    </w:p>
    <w:p w:rsidR="00FD6795" w:rsidRDefault="00FD6795">
      <w:pPr>
        <w:pStyle w:val="ConsPlusNormal"/>
        <w:spacing w:before="220"/>
        <w:ind w:firstLine="540"/>
        <w:jc w:val="both"/>
      </w:pPr>
      <w:r>
        <w:t xml:space="preserve">Согласно </w:t>
      </w:r>
      <w:hyperlink r:id="rId13" w:history="1">
        <w:r>
          <w:rPr>
            <w:color w:val="0000FF"/>
          </w:rPr>
          <w:t>части 4 статьи 67</w:t>
        </w:r>
      </w:hyperlink>
      <w:r>
        <w:t xml:space="preserve"> Закона о контрактной системе участник электронного аукциона не допускается к участию в нем в случае:</w:t>
      </w:r>
    </w:p>
    <w:p w:rsidR="00FD6795" w:rsidRDefault="00FD6795">
      <w:pPr>
        <w:pStyle w:val="ConsPlusNormal"/>
        <w:spacing w:before="220"/>
        <w:ind w:firstLine="540"/>
        <w:jc w:val="both"/>
      </w:pPr>
      <w:r>
        <w:t xml:space="preserve">- </w:t>
      </w:r>
      <w:proofErr w:type="spellStart"/>
      <w:r>
        <w:t>непредоставления</w:t>
      </w:r>
      <w:proofErr w:type="spellEnd"/>
      <w:r>
        <w:t xml:space="preserve"> информации, предусмотренной </w:t>
      </w:r>
      <w:hyperlink r:id="rId14" w:history="1">
        <w:r>
          <w:rPr>
            <w:color w:val="0000FF"/>
          </w:rPr>
          <w:t>частью 3 статьи 66</w:t>
        </w:r>
      </w:hyperlink>
      <w:r>
        <w:t xml:space="preserve"> Закона о контрактной системе, или предоставления недостоверной информации;</w:t>
      </w:r>
    </w:p>
    <w:p w:rsidR="00FD6795" w:rsidRDefault="00FD6795">
      <w:pPr>
        <w:pStyle w:val="ConsPlusNormal"/>
        <w:spacing w:before="220"/>
        <w:ind w:firstLine="540"/>
        <w:jc w:val="both"/>
      </w:pPr>
      <w:r>
        <w:t xml:space="preserve">- несоответствия информации, предусмотренной </w:t>
      </w:r>
      <w:hyperlink r:id="rId15" w:history="1">
        <w:r>
          <w:rPr>
            <w:color w:val="0000FF"/>
          </w:rPr>
          <w:t>частью 3 статьи 66</w:t>
        </w:r>
      </w:hyperlink>
      <w:r>
        <w:t xml:space="preserve"> Закона о контрактной системе, требованиям документации о таком аукционе.</w:t>
      </w:r>
    </w:p>
    <w:p w:rsidR="00FD6795" w:rsidRDefault="00FD6795">
      <w:pPr>
        <w:pStyle w:val="ConsPlusNormal"/>
        <w:spacing w:before="220"/>
        <w:ind w:firstLine="540"/>
        <w:jc w:val="both"/>
      </w:pPr>
      <w:r>
        <w:t xml:space="preserve">Согласно </w:t>
      </w:r>
      <w:hyperlink r:id="rId16" w:history="1">
        <w:r>
          <w:rPr>
            <w:color w:val="0000FF"/>
          </w:rPr>
          <w:t>части 3 статьи 66</w:t>
        </w:r>
      </w:hyperlink>
      <w:r>
        <w:t xml:space="preserve"> Закона о контрактной системе: "Первая часть заявки на участие в электронном аукционе должна содержать указанную в одном из следующих подпунктов информацию:</w:t>
      </w:r>
    </w:p>
    <w:p w:rsidR="00FD6795" w:rsidRDefault="00FD6795">
      <w:pPr>
        <w:pStyle w:val="ConsPlusNormal"/>
        <w:spacing w:before="220"/>
        <w:ind w:firstLine="540"/>
        <w:jc w:val="both"/>
      </w:pPr>
      <w:r>
        <w:t>1. при заключении контракта на поставку товара:</w:t>
      </w:r>
    </w:p>
    <w:p w:rsidR="00FD6795" w:rsidRDefault="00FD6795">
      <w:pPr>
        <w:pStyle w:val="ConsPlusNormal"/>
        <w:spacing w:before="220"/>
        <w:ind w:firstLine="540"/>
        <w:jc w:val="both"/>
      </w:pPr>
      <w:proofErr w:type="gramStart"/>
      <w: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FD6795" w:rsidRDefault="00FD6795">
      <w:pPr>
        <w:pStyle w:val="ConsPlusNormal"/>
        <w:spacing w:before="220"/>
        <w:ind w:firstLine="540"/>
        <w:jc w:val="both"/>
      </w:pPr>
      <w:proofErr w:type="gramStart"/>
      <w: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D6795" w:rsidRDefault="00FD6795">
      <w:pPr>
        <w:pStyle w:val="ConsPlusNormal"/>
        <w:spacing w:before="220"/>
        <w:ind w:firstLine="540"/>
        <w:jc w:val="both"/>
      </w:pPr>
      <w: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FD6795" w:rsidRDefault="00FD6795">
      <w:pPr>
        <w:pStyle w:val="ConsPlusNormal"/>
        <w:spacing w:before="220"/>
        <w:ind w:firstLine="540"/>
        <w:jc w:val="both"/>
      </w:pPr>
      <w:r>
        <w:t>3. При заключении контракта на выполнение работы или оказание услуги, для выполнения или оказания которых используется товар:</w:t>
      </w:r>
    </w:p>
    <w:p w:rsidR="00FD6795" w:rsidRDefault="00FD6795">
      <w:pPr>
        <w:pStyle w:val="ConsPlusNormal"/>
        <w:spacing w:before="220"/>
        <w:ind w:firstLine="540"/>
        <w:jc w:val="both"/>
      </w:pPr>
      <w:proofErr w:type="gramStart"/>
      <w:r>
        <w:lastRenderedPageBreak/>
        <w:t xml:space="preserve">а) согласие, предусмотренное </w:t>
      </w:r>
      <w:hyperlink r:id="rId17" w:history="1">
        <w:r>
          <w:rPr>
            <w:color w:val="0000FF"/>
          </w:rPr>
          <w:t>пунктом 2 настоящей части</w:t>
        </w:r>
      </w:hyperlink>
      <w:r>
        <w:t xml:space="preserve">,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r:id="rId18" w:history="1">
        <w:r>
          <w:rPr>
            <w:color w:val="0000FF"/>
          </w:rPr>
          <w:t>пунктом 2</w:t>
        </w:r>
        <w:proofErr w:type="gramEnd"/>
        <w:r>
          <w:rPr>
            <w:color w:val="0000FF"/>
          </w:rPr>
          <w:t xml:space="preserve"> </w:t>
        </w:r>
        <w:proofErr w:type="gramStart"/>
        <w:r>
          <w:rPr>
            <w:color w:val="0000FF"/>
          </w:rPr>
          <w:t>настоящей части</w:t>
        </w:r>
      </w:hyperlink>
      <w: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t xml:space="preserve">, </w:t>
      </w:r>
      <w:proofErr w:type="gramStart"/>
      <w: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t xml:space="preserve"> (</w:t>
      </w:r>
      <w:proofErr w:type="gramStart"/>
      <w: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D6795" w:rsidRDefault="00FD6795">
      <w:pPr>
        <w:pStyle w:val="ConsPlusNormal"/>
        <w:spacing w:before="220"/>
        <w:ind w:firstLine="540"/>
        <w:jc w:val="both"/>
      </w:pPr>
      <w:proofErr w:type="gramStart"/>
      <w:r>
        <w:t xml:space="preserve">б) согласие, предусмотренное </w:t>
      </w:r>
      <w:hyperlink r:id="rId19" w:history="1">
        <w:r>
          <w:rPr>
            <w:color w:val="0000FF"/>
          </w:rPr>
          <w:t>пунктом 2 настоящей части</w:t>
        </w:r>
      </w:hyperlink>
      <w:r>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D6795" w:rsidRDefault="00FD6795">
      <w:pPr>
        <w:pStyle w:val="ConsPlusNormal"/>
        <w:spacing w:before="220"/>
        <w:ind w:firstLine="540"/>
        <w:jc w:val="both"/>
      </w:pPr>
      <w:proofErr w:type="gramStart"/>
      <w:r>
        <w:t>Арбитражным судом установлено, что в предложении на выполнение работ по изготовлению протезов нижних конечностей для инвалидов и отдельных категорий граждан из числа ветеранов предоставлена ссылка на товарный знак - (товарный знак (его словесное обозначение) - (</w:t>
      </w:r>
      <w:proofErr w:type="spellStart"/>
      <w:r>
        <w:t>Otto</w:t>
      </w:r>
      <w:proofErr w:type="spellEnd"/>
      <w:r>
        <w:t xml:space="preserve"> </w:t>
      </w:r>
      <w:proofErr w:type="spellStart"/>
      <w:r>
        <w:t>Bock</w:t>
      </w:r>
      <w:proofErr w:type="spellEnd"/>
      <w:r>
        <w:t>).</w:t>
      </w:r>
      <w:proofErr w:type="gramEnd"/>
      <w:r>
        <w:t xml:space="preserve"> Правообладатель: </w:t>
      </w:r>
      <w:proofErr w:type="spellStart"/>
      <w:r>
        <w:t>Otto</w:t>
      </w:r>
      <w:proofErr w:type="spellEnd"/>
      <w:r>
        <w:t xml:space="preserve"> </w:t>
      </w:r>
      <w:proofErr w:type="spellStart"/>
      <w:r>
        <w:t>Bock</w:t>
      </w:r>
      <w:proofErr w:type="spellEnd"/>
      <w:r>
        <w:t xml:space="preserve">. Товарный знак </w:t>
      </w:r>
      <w:proofErr w:type="spellStart"/>
      <w:r>
        <w:t>Otto</w:t>
      </w:r>
      <w:proofErr w:type="spellEnd"/>
      <w:r>
        <w:t xml:space="preserve"> </w:t>
      </w:r>
      <w:proofErr w:type="spellStart"/>
      <w:r>
        <w:t>Bock</w:t>
      </w:r>
      <w:proofErr w:type="spellEnd"/>
      <w:r>
        <w:t xml:space="preserve"> был взят заявителем с официального сайта Поставщика протезов нижних конечностей для инвалидов и отдельных категорий граждан из числа ветеранов путем копирования символа из PDF в WORD. Таким образом, по мнению заявителя, он не мог внести изменения в данный символ, либо каким-то образом поменять его словесное обозначение.</w:t>
      </w:r>
    </w:p>
    <w:p w:rsidR="00FD6795" w:rsidRDefault="00FD6795">
      <w:pPr>
        <w:pStyle w:val="ConsPlusNormal"/>
        <w:spacing w:before="220"/>
        <w:ind w:firstLine="540"/>
        <w:jc w:val="both"/>
      </w:pPr>
      <w:r>
        <w:t>Комиссией заказчика указано, что: "Первая часть заявки участника не соответствует требованиям аукционной документации, так как в заявке неверно указан товарный знак (его словесное обозначение)".</w:t>
      </w:r>
    </w:p>
    <w:p w:rsidR="00FD6795" w:rsidRDefault="00FD6795">
      <w:pPr>
        <w:pStyle w:val="ConsPlusNormal"/>
        <w:spacing w:before="220"/>
        <w:ind w:firstLine="540"/>
        <w:jc w:val="both"/>
      </w:pPr>
      <w:r>
        <w:t>Согласно разделу 1.4 Документации об электронном аукционе Заказчиком установлено требование - "Первая часть заявки на участие в электронном аукционе должна содержать следующую информацию:</w:t>
      </w:r>
    </w:p>
    <w:p w:rsidR="00FD6795" w:rsidRDefault="00FD6795">
      <w:pPr>
        <w:pStyle w:val="ConsPlusNormal"/>
        <w:spacing w:before="220"/>
        <w:ind w:firstLine="540"/>
        <w:jc w:val="both"/>
      </w:pPr>
      <w:proofErr w:type="gramStart"/>
      <w:r>
        <w:t>конкретные показатели, соответствующие значениям, установленным в части 3 "Техническое задание" настоящей документации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D6795" w:rsidRDefault="00FD6795">
      <w:pPr>
        <w:pStyle w:val="ConsPlusNormal"/>
        <w:spacing w:before="220"/>
        <w:ind w:firstLine="540"/>
        <w:jc w:val="both"/>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FD6795" w:rsidRDefault="00FD6795">
      <w:pPr>
        <w:pStyle w:val="ConsPlusNormal"/>
        <w:spacing w:before="220"/>
        <w:ind w:firstLine="540"/>
        <w:jc w:val="both"/>
      </w:pPr>
      <w:r>
        <w:t xml:space="preserve">При этом обозначение (при наличии) означает, что данные показатели товара необходимо </w:t>
      </w:r>
      <w:r>
        <w:lastRenderedPageBreak/>
        <w:t>указывать только при их наличии, при отсутствии данных показателей на момент подачи заявки их указание не требуется.</w:t>
      </w:r>
    </w:p>
    <w:p w:rsidR="00FD6795" w:rsidRDefault="00FD6795">
      <w:pPr>
        <w:pStyle w:val="ConsPlusNormal"/>
        <w:spacing w:before="220"/>
        <w:ind w:firstLine="540"/>
        <w:jc w:val="both"/>
      </w:pPr>
      <w:proofErr w:type="gramStart"/>
      <w:r>
        <w:t xml:space="preserve">Как было отмечено ранее, </w:t>
      </w:r>
      <w:hyperlink r:id="rId20" w:history="1">
        <w:r>
          <w:rPr>
            <w:color w:val="0000FF"/>
          </w:rPr>
          <w:t>частью 4 статьи 67</w:t>
        </w:r>
      </w:hyperlink>
      <w:r>
        <w:t xml:space="preserve"> Закона о контрактной системе предусмотрено, что участник электронного аукциона не допускается к участию в нем в случае: непредставления информации, предусмотренной </w:t>
      </w:r>
      <w:hyperlink r:id="rId21" w:history="1">
        <w:r>
          <w:rPr>
            <w:color w:val="0000FF"/>
          </w:rPr>
          <w:t>частью 3 статьи 66</w:t>
        </w:r>
      </w:hyperlink>
      <w:r>
        <w:t xml:space="preserve"> Закона о контрактной системе, или предоставления недостоверной информации; несоответствия информации, предусмотренной </w:t>
      </w:r>
      <w:hyperlink r:id="rId22" w:history="1">
        <w:r>
          <w:rPr>
            <w:color w:val="0000FF"/>
          </w:rPr>
          <w:t>Законом</w:t>
        </w:r>
      </w:hyperlink>
      <w:r>
        <w:t xml:space="preserve"> о контрактной системе, требованиям документации о таком аукционе.</w:t>
      </w:r>
      <w:proofErr w:type="gramEnd"/>
    </w:p>
    <w:p w:rsidR="00FD6795" w:rsidRDefault="00FD6795">
      <w:pPr>
        <w:pStyle w:val="ConsPlusNormal"/>
        <w:spacing w:before="220"/>
        <w:ind w:firstLine="540"/>
        <w:jc w:val="both"/>
      </w:pPr>
      <w:proofErr w:type="gramStart"/>
      <w:r>
        <w:t xml:space="preserve">Согласно </w:t>
      </w:r>
      <w:hyperlink r:id="rId23" w:history="1">
        <w:r>
          <w:rPr>
            <w:color w:val="0000FF"/>
          </w:rPr>
          <w:t>пункту "б" части 3 статьи 66</w:t>
        </w:r>
      </w:hyperlink>
      <w:r>
        <w:t xml:space="preserve"> Закона о контрактной системе при заключении контракта на поставку товара первая часть заявки на участие в электронном аукционе должна содержать конкретные показатели, соответствующие значениям, установленным документацией о таком аукционе, указание на товарный знак (его словесное обозначение) (при наличии), знак обслуживания (при наличии), знак обслуживания (при наличии), фирменное наименование (при наличии), патенты (при наличии</w:t>
      </w:r>
      <w:proofErr w:type="gramEnd"/>
      <w:r>
        <w:t>), полезные модели (при наличии), промышленные образцы (при наличии) наименование страны происхождения товара.</w:t>
      </w:r>
    </w:p>
    <w:p w:rsidR="00FD6795" w:rsidRDefault="00FD6795">
      <w:pPr>
        <w:pStyle w:val="ConsPlusNormal"/>
        <w:spacing w:before="220"/>
        <w:ind w:firstLine="540"/>
        <w:jc w:val="both"/>
      </w:pPr>
      <w:r>
        <w:t>Информация о товарном знаке, знаке обслуживания, фирменном наименовании, патенте, полезной модели, промышленном образце указывается в заявке на участие в электронном аукционе только при наличии таких сведений.</w:t>
      </w:r>
    </w:p>
    <w:p w:rsidR="00FD6795" w:rsidRDefault="00FD6795">
      <w:pPr>
        <w:pStyle w:val="ConsPlusNormal"/>
        <w:spacing w:before="220"/>
        <w:ind w:firstLine="540"/>
        <w:jc w:val="both"/>
      </w:pPr>
      <w:proofErr w:type="gramStart"/>
      <w:r>
        <w:t xml:space="preserve">Согласно письму от 01.07.2016 N ИА/44536/16 Федеральной антимонопольной службы "Об установлении Заказчиком Требований к составу, инструкции по заполнению заявки на участие в закупке </w:t>
      </w:r>
      <w:hyperlink r:id="rId24" w:history="1">
        <w:r>
          <w:rPr>
            <w:color w:val="0000FF"/>
          </w:rPr>
          <w:t>(пункт 3)</w:t>
        </w:r>
      </w:hyperlink>
      <w:r>
        <w:t xml:space="preserve"> "При установлении заказчиком в документации, извещении о закупке требований к описанию участниками закупки товаров следует учесть, что </w:t>
      </w:r>
      <w:hyperlink r:id="rId25" w:history="1">
        <w:r>
          <w:rPr>
            <w:color w:val="0000FF"/>
          </w:rPr>
          <w:t>Закон</w:t>
        </w:r>
      </w:hyperlink>
      <w:r>
        <w:t xml:space="preserve"> о контрактной системе не обязывает участника закупки иметь в наличии товар в момент подачи заявки</w:t>
      </w:r>
      <w:proofErr w:type="gramEnd"/>
      <w:r>
        <w:t xml:space="preserve">, в </w:t>
      </w:r>
      <w:proofErr w:type="gramStart"/>
      <w:r>
        <w:t>связи</w:t>
      </w:r>
      <w:proofErr w:type="gramEnd"/>
      <w:r>
        <w:t xml:space="preserve"> с чем требования заказчика подробно описать в заявке (путем предоставления показателей и (или) их значений, как в виде одного значения, диапазона значений, так и сохранения неизменного значения, химический состав и (или) компоненты товара, и (или) показатели технологии производства, испытания товара, и (или) показатели, значения которых становятся известными при испытании определенной партии товара после его производства, имеют признаки ограничения доступа к участию в закупке".</w:t>
      </w:r>
    </w:p>
    <w:p w:rsidR="00FD6795" w:rsidRDefault="00FD67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795">
        <w:trPr>
          <w:jc w:val="center"/>
        </w:trPr>
        <w:tc>
          <w:tcPr>
            <w:tcW w:w="9294" w:type="dxa"/>
            <w:tcBorders>
              <w:top w:val="nil"/>
              <w:left w:val="single" w:sz="24" w:space="0" w:color="CED3F1"/>
              <w:bottom w:val="nil"/>
              <w:right w:val="single" w:sz="24" w:space="0" w:color="F4F3F8"/>
            </w:tcBorders>
            <w:shd w:val="clear" w:color="auto" w:fill="F4F3F8"/>
          </w:tcPr>
          <w:p w:rsidR="00FD6795" w:rsidRDefault="00FD6795">
            <w:pPr>
              <w:pStyle w:val="ConsPlusNormal"/>
              <w:jc w:val="both"/>
            </w:pPr>
            <w:proofErr w:type="spellStart"/>
            <w:r>
              <w:rPr>
                <w:color w:val="392C69"/>
              </w:rPr>
              <w:t>КонсультантПлюс</w:t>
            </w:r>
            <w:proofErr w:type="spellEnd"/>
            <w:r>
              <w:rPr>
                <w:color w:val="392C69"/>
              </w:rPr>
              <w:t>: примечание.</w:t>
            </w:r>
          </w:p>
          <w:p w:rsidR="00FD6795" w:rsidRDefault="00FD6795">
            <w:pPr>
              <w:pStyle w:val="ConsPlusNormal"/>
              <w:jc w:val="both"/>
            </w:pPr>
            <w:r>
              <w:rPr>
                <w:color w:val="392C69"/>
              </w:rPr>
              <w:t>Текст документа приведен в соответствии с оригиналом. Вероятно, имеется в виду решение Управления Федеральной антимонопольной службы по Республике Татарстан N 61-кз/2017 от 04.04.2017, а не от 29.03.2017.</w:t>
            </w:r>
          </w:p>
        </w:tc>
      </w:tr>
    </w:tbl>
    <w:p w:rsidR="00FD6795" w:rsidRDefault="00FD6795">
      <w:pPr>
        <w:pStyle w:val="ConsPlusNormal"/>
        <w:spacing w:before="220"/>
        <w:ind w:firstLine="540"/>
        <w:jc w:val="both"/>
      </w:pPr>
      <w:proofErr w:type="gramStart"/>
      <w:r>
        <w:t xml:space="preserve">Заявитель 11.04.2017 обратился в Федеральную антимонопольную службу России (далее - ФАС России) с жалобой на действия Татарстанского УФАС России при рассмотрении его жалобы на действия заказчика при проведении электронного аукциона на выполнение работ по изготовлению протезов нижних конечностей для инвалидов и отдельных категорий граждан из числа ветеранов (номер извещения - 0211100000117000054) и принятие </w:t>
      </w:r>
      <w:hyperlink r:id="rId26" w:history="1">
        <w:r>
          <w:rPr>
            <w:color w:val="0000FF"/>
          </w:rPr>
          <w:t>решения</w:t>
        </w:r>
      </w:hyperlink>
      <w:r>
        <w:t xml:space="preserve"> от 29.03.2017 N 61-кз/2017.</w:t>
      </w:r>
      <w:proofErr w:type="gramEnd"/>
    </w:p>
    <w:p w:rsidR="00FD6795" w:rsidRDefault="00FD6795">
      <w:pPr>
        <w:pStyle w:val="ConsPlusNormal"/>
        <w:spacing w:before="220"/>
        <w:ind w:firstLine="540"/>
        <w:jc w:val="both"/>
      </w:pPr>
      <w:proofErr w:type="gramStart"/>
      <w:r>
        <w:t>Письмом от 09.06.2017 за N РП/39211/17 ФАС России поддержала позицию заявителя о неправомерном отказе заказчиком в допуске к участию в аукционе, а также сообщила, что в адрес Татарстанского УФАС России направлено письмо с указанием на необходимость учета позиции, изложенной в указанном письме, а также на необходимость усиления контроля Татарстанским УФАС России за соблюдением норм законодательства Российской Федерации о</w:t>
      </w:r>
      <w:proofErr w:type="gramEnd"/>
      <w:r>
        <w:t xml:space="preserve"> контрактной системе в сфере закупок при осуществлении полномочий по контролю в сфере закупок, в том числе при принятии комиссией решений по результатам рассмотрения жалоб по существу.</w:t>
      </w:r>
    </w:p>
    <w:p w:rsidR="00FD6795" w:rsidRDefault="00FD6795">
      <w:pPr>
        <w:pStyle w:val="ConsPlusNormal"/>
        <w:spacing w:before="220"/>
        <w:ind w:firstLine="540"/>
        <w:jc w:val="both"/>
      </w:pPr>
      <w:r>
        <w:t xml:space="preserve">В соответствии со </w:t>
      </w:r>
      <w:hyperlink r:id="rId27" w:history="1">
        <w:r>
          <w:rPr>
            <w:color w:val="0000FF"/>
          </w:rPr>
          <w:t>статьей 1482</w:t>
        </w:r>
      </w:hyperlink>
      <w:r>
        <w:t xml:space="preserve"> Гражданского кодекса Российской Федерации (далее - ГК РФ) </w:t>
      </w:r>
      <w:r>
        <w:lastRenderedPageBreak/>
        <w:t>в качестве товарных знаков могут быть зарегистрированы словесные, изобразительные, объемные и другие обозначения или их комбинации.</w:t>
      </w:r>
    </w:p>
    <w:p w:rsidR="00FD6795" w:rsidRDefault="00FD6795">
      <w:pPr>
        <w:pStyle w:val="ConsPlusNormal"/>
        <w:spacing w:before="220"/>
        <w:ind w:firstLine="540"/>
        <w:jc w:val="both"/>
      </w:pPr>
      <w:r>
        <w:t>Арбитражным судом первой инстанции установлено, что в составе заявки Предприятия на участие в аукционе содержится указание на товарный знак предлагаемого к поставке товара, а именно "</w:t>
      </w:r>
      <w:proofErr w:type="spellStart"/>
      <w:r>
        <w:t>Otto</w:t>
      </w:r>
      <w:proofErr w:type="spellEnd"/>
      <w:r>
        <w:t xml:space="preserve"> </w:t>
      </w:r>
      <w:proofErr w:type="spellStart"/>
      <w:r>
        <w:t>Bock</w:t>
      </w:r>
      <w:proofErr w:type="spellEnd"/>
      <w:r>
        <w:t>".</w:t>
      </w:r>
    </w:p>
    <w:p w:rsidR="00FD6795" w:rsidRDefault="00FD6795">
      <w:pPr>
        <w:pStyle w:val="ConsPlusNormal"/>
        <w:spacing w:before="220"/>
        <w:ind w:firstLine="540"/>
        <w:jc w:val="both"/>
      </w:pPr>
      <w:r>
        <w:t>При этом суд первой инстанции указал в решении, что рассматриваемый товарный знак зарегистрирован как словесное обозначение.</w:t>
      </w:r>
    </w:p>
    <w:p w:rsidR="00FD6795" w:rsidRDefault="00FD6795">
      <w:pPr>
        <w:pStyle w:val="ConsPlusNormal"/>
        <w:spacing w:before="220"/>
        <w:ind w:firstLine="540"/>
        <w:jc w:val="both"/>
      </w:pPr>
      <w:proofErr w:type="gramStart"/>
      <w:r>
        <w:t>Арбитражные суды первой и апелляционной инстанций пришли к выводу, что оспариваемое решение конкурсной комиссии Фонда, оформленное протоколом рассмотрения и оценки заявок на участие в электронном аукционе по определению исполнителя на выполнение работ по изготовлению протезов нижних конечностей для инвалидов и отдельных категорий граждан из числа ветеранов (извещение N 0211100000117000054), вынесено незаконно.</w:t>
      </w:r>
      <w:proofErr w:type="gramEnd"/>
    </w:p>
    <w:p w:rsidR="00FD6795" w:rsidRDefault="00FD6795">
      <w:pPr>
        <w:pStyle w:val="ConsPlusNormal"/>
        <w:spacing w:before="220"/>
        <w:ind w:firstLine="540"/>
        <w:jc w:val="both"/>
      </w:pPr>
      <w:r>
        <w:t>При указанных обстоятельствах суды первой и апелляционной инстанций удовлетворили заявленные требования.</w:t>
      </w:r>
    </w:p>
    <w:p w:rsidR="00FD6795" w:rsidRDefault="00FD6795">
      <w:pPr>
        <w:pStyle w:val="ConsPlusNormal"/>
        <w:spacing w:before="220"/>
        <w:ind w:firstLine="540"/>
        <w:jc w:val="both"/>
      </w:pPr>
      <w:r>
        <w:t>Исходя из установленных по делу обстоятельств, судебная коллегия окружного суда не находит оснований для прекращения настоящего арбитражного спора.</w:t>
      </w:r>
    </w:p>
    <w:p w:rsidR="00FD6795" w:rsidRDefault="00FD6795">
      <w:pPr>
        <w:pStyle w:val="ConsPlusNormal"/>
        <w:spacing w:before="220"/>
        <w:ind w:firstLine="540"/>
        <w:jc w:val="both"/>
      </w:pPr>
      <w:proofErr w:type="gramStart"/>
      <w:r>
        <w:t xml:space="preserve">В силу </w:t>
      </w:r>
      <w:hyperlink r:id="rId28" w:history="1">
        <w:r>
          <w:rPr>
            <w:color w:val="0000FF"/>
          </w:rPr>
          <w:t>статьи 4</w:t>
        </w:r>
      </w:hyperlink>
      <w:r>
        <w:t xml:space="preserve"> АПК РФ Предприятия реализовало свое конституционное право на судебную защиту в целях восстановления нарушенного права, самостоятельно избрав отдельно способ защиты в виде обжалования решения аукционной комиссии, которое воспрепятствовало ему в дальнейшем участие в конкурсе при заключении контракта, и отдельно в рамках дела N А65-8063/2017 оспорив </w:t>
      </w:r>
      <w:hyperlink r:id="rId29" w:history="1">
        <w:r>
          <w:rPr>
            <w:color w:val="0000FF"/>
          </w:rPr>
          <w:t>решение</w:t>
        </w:r>
      </w:hyperlink>
      <w:r>
        <w:t xml:space="preserve"> антимонопольного органа.</w:t>
      </w:r>
      <w:proofErr w:type="gramEnd"/>
    </w:p>
    <w:p w:rsidR="00FD6795" w:rsidRDefault="00FD6795">
      <w:pPr>
        <w:pStyle w:val="ConsPlusNormal"/>
        <w:spacing w:before="220"/>
        <w:ind w:firstLine="540"/>
        <w:jc w:val="both"/>
      </w:pPr>
      <w:r>
        <w:t>Рассмотрение спора по настоящему делу, как самостоятельного способа защиты нарушенного права, и иная оценка заявителям жалобы установленных судами фактических обстоятельств дела и толкование положений закона не означает допущенной при рассмотрении дела судебной ошибки.</w:t>
      </w:r>
    </w:p>
    <w:p w:rsidR="00FD6795" w:rsidRDefault="00FD6795">
      <w:pPr>
        <w:pStyle w:val="ConsPlusNormal"/>
        <w:spacing w:before="220"/>
        <w:ind w:firstLine="540"/>
        <w:jc w:val="both"/>
      </w:pPr>
      <w:r>
        <w:t xml:space="preserve">Оснований для переоценки выводов судов первой и апелляционной инстанций у суда кассационной инстанции в силу </w:t>
      </w:r>
      <w:hyperlink r:id="rId30" w:history="1">
        <w:r>
          <w:rPr>
            <w:color w:val="0000FF"/>
          </w:rPr>
          <w:t>статьи 286</w:t>
        </w:r>
      </w:hyperlink>
      <w:r>
        <w:t xml:space="preserve"> АПК РФ не имеется.</w:t>
      </w:r>
    </w:p>
    <w:p w:rsidR="00FD6795" w:rsidRDefault="00FD6795">
      <w:pPr>
        <w:pStyle w:val="ConsPlusNormal"/>
        <w:spacing w:before="220"/>
        <w:ind w:firstLine="540"/>
        <w:jc w:val="both"/>
      </w:pPr>
      <w:r>
        <w:t>На основании изложенного арбитражный суд кассационной инстанции считает, что обжалуемые ответчиком судебные акты приняты судами первой и апелляционной инстанций обоснованно, в соответствии с требованиями норм материального и процессуального права, и основания для их отмены отсутствуют.</w:t>
      </w:r>
    </w:p>
    <w:p w:rsidR="00FD6795" w:rsidRDefault="00FD6795">
      <w:pPr>
        <w:pStyle w:val="ConsPlusNormal"/>
        <w:spacing w:before="220"/>
        <w:ind w:firstLine="540"/>
        <w:jc w:val="both"/>
      </w:pPr>
      <w:r>
        <w:t xml:space="preserve">На основании изложенного и руководствуясь </w:t>
      </w:r>
      <w:hyperlink r:id="rId31" w:history="1">
        <w:r>
          <w:rPr>
            <w:color w:val="0000FF"/>
          </w:rPr>
          <w:t>статьями 286</w:t>
        </w:r>
      </w:hyperlink>
      <w:r>
        <w:t xml:space="preserve">, </w:t>
      </w:r>
      <w:hyperlink r:id="rId32" w:history="1">
        <w:r>
          <w:rPr>
            <w:color w:val="0000FF"/>
          </w:rPr>
          <w:t>287</w:t>
        </w:r>
      </w:hyperlink>
      <w:r>
        <w:t xml:space="preserve">, </w:t>
      </w:r>
      <w:hyperlink r:id="rId33" w:history="1">
        <w:r>
          <w:rPr>
            <w:color w:val="0000FF"/>
          </w:rPr>
          <w:t>289</w:t>
        </w:r>
      </w:hyperlink>
      <w:r>
        <w:t xml:space="preserve"> Арбитражного процессуального кодекса Российской Федерации, Арбитражный суд Поволжского округа</w:t>
      </w:r>
    </w:p>
    <w:p w:rsidR="00FD6795" w:rsidRDefault="00FD6795">
      <w:pPr>
        <w:pStyle w:val="ConsPlusNormal"/>
        <w:jc w:val="center"/>
      </w:pPr>
    </w:p>
    <w:p w:rsidR="00FD6795" w:rsidRDefault="00FD6795">
      <w:pPr>
        <w:pStyle w:val="ConsPlusNormal"/>
        <w:jc w:val="center"/>
      </w:pPr>
      <w:r>
        <w:t>постановил:</w:t>
      </w:r>
    </w:p>
    <w:p w:rsidR="00FD6795" w:rsidRDefault="00FD6795">
      <w:pPr>
        <w:pStyle w:val="ConsPlusNormal"/>
        <w:jc w:val="center"/>
      </w:pPr>
    </w:p>
    <w:p w:rsidR="00FD6795" w:rsidRDefault="00FD6795">
      <w:pPr>
        <w:pStyle w:val="ConsPlusNormal"/>
        <w:ind w:firstLine="540"/>
        <w:jc w:val="both"/>
      </w:pPr>
      <w:r>
        <w:t xml:space="preserve">решение Арбитражного суда Республики Татарстан от 03.10.2017 и </w:t>
      </w:r>
      <w:hyperlink r:id="rId34" w:history="1">
        <w:r>
          <w:rPr>
            <w:color w:val="0000FF"/>
          </w:rPr>
          <w:t>постановление</w:t>
        </w:r>
      </w:hyperlink>
      <w:r>
        <w:t xml:space="preserve"> Одиннадцатого арбитражного апелляционного суда от 24.01.2018 по делу N А65-13017/2017 оставить без изменения, кассационную жалобу - без удовлетворения.</w:t>
      </w:r>
    </w:p>
    <w:p w:rsidR="00FD6795" w:rsidRDefault="00FD6795">
      <w:pPr>
        <w:pStyle w:val="ConsPlusNormal"/>
        <w:spacing w:before="220"/>
        <w:ind w:firstLine="540"/>
        <w:jc w:val="both"/>
      </w:pPr>
      <w: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порядке и сроки, установленные </w:t>
      </w:r>
      <w:hyperlink r:id="rId35" w:history="1">
        <w:r>
          <w:rPr>
            <w:color w:val="0000FF"/>
          </w:rPr>
          <w:t>статьями 291.1</w:t>
        </w:r>
      </w:hyperlink>
      <w:r>
        <w:t xml:space="preserve">., </w:t>
      </w:r>
      <w:hyperlink r:id="rId36" w:history="1">
        <w:r>
          <w:rPr>
            <w:color w:val="0000FF"/>
          </w:rPr>
          <w:t>291.2</w:t>
        </w:r>
      </w:hyperlink>
      <w:r>
        <w:t>. Арбитражного процессуального кодекса Российской Федерации.</w:t>
      </w:r>
    </w:p>
    <w:p w:rsidR="00FD6795" w:rsidRDefault="00FD6795">
      <w:pPr>
        <w:pStyle w:val="ConsPlusNormal"/>
        <w:ind w:firstLine="540"/>
        <w:jc w:val="both"/>
      </w:pPr>
    </w:p>
    <w:p w:rsidR="00FD6795" w:rsidRDefault="00FD6795">
      <w:pPr>
        <w:pStyle w:val="ConsPlusNormal"/>
        <w:jc w:val="right"/>
      </w:pPr>
      <w:r>
        <w:t>Председательствующий судья</w:t>
      </w:r>
    </w:p>
    <w:p w:rsidR="00FD6795" w:rsidRDefault="00FD6795">
      <w:pPr>
        <w:pStyle w:val="ConsPlusNormal"/>
        <w:jc w:val="right"/>
      </w:pPr>
      <w:r>
        <w:t>Н.Ю.МЕЛЬНИКОВА</w:t>
      </w:r>
    </w:p>
    <w:p w:rsidR="00FD6795" w:rsidRDefault="00FD6795">
      <w:pPr>
        <w:pStyle w:val="ConsPlusNormal"/>
        <w:jc w:val="right"/>
      </w:pPr>
    </w:p>
    <w:p w:rsidR="00FD6795" w:rsidRDefault="00FD6795">
      <w:pPr>
        <w:pStyle w:val="ConsPlusNormal"/>
        <w:jc w:val="right"/>
      </w:pPr>
      <w:r>
        <w:t>Судьи</w:t>
      </w:r>
    </w:p>
    <w:p w:rsidR="00FD6795" w:rsidRDefault="00FD6795">
      <w:pPr>
        <w:pStyle w:val="ConsPlusNormal"/>
        <w:jc w:val="right"/>
      </w:pPr>
      <w:r>
        <w:t>М.М.САБИРОВ</w:t>
      </w:r>
    </w:p>
    <w:p w:rsidR="00FD6795" w:rsidRDefault="00FD6795">
      <w:pPr>
        <w:pStyle w:val="ConsPlusNormal"/>
        <w:jc w:val="right"/>
      </w:pPr>
      <w:r>
        <w:t>Р.А.ВИЛЬДАНОВ</w:t>
      </w:r>
    </w:p>
    <w:p w:rsidR="00FD6795" w:rsidRDefault="00FD6795">
      <w:pPr>
        <w:pStyle w:val="ConsPlusNormal"/>
        <w:ind w:firstLine="540"/>
        <w:jc w:val="both"/>
      </w:pPr>
    </w:p>
    <w:p w:rsidR="00FD6795" w:rsidRDefault="00FD6795">
      <w:pPr>
        <w:pStyle w:val="ConsPlusNormal"/>
        <w:ind w:firstLine="540"/>
        <w:jc w:val="both"/>
      </w:pPr>
    </w:p>
    <w:p w:rsidR="00FD6795" w:rsidRDefault="00FD6795">
      <w:pPr>
        <w:pStyle w:val="ConsPlusNormal"/>
        <w:pBdr>
          <w:top w:val="single" w:sz="6" w:space="0" w:color="auto"/>
        </w:pBdr>
        <w:spacing w:before="100" w:after="100"/>
        <w:jc w:val="both"/>
        <w:rPr>
          <w:sz w:val="2"/>
          <w:szCs w:val="2"/>
        </w:rPr>
      </w:pPr>
    </w:p>
    <w:p w:rsidR="00527982" w:rsidRDefault="00527982"/>
    <w:sectPr w:rsidR="00527982" w:rsidSect="00B32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795"/>
    <w:rsid w:val="00527982"/>
    <w:rsid w:val="00FD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67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67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679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67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67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67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33DE1554D97784FC2348206589103E9DA4073777D376CB01004E32D0073C35Er5n6M" TargetMode="External"/><Relationship Id="rId13" Type="http://schemas.openxmlformats.org/officeDocument/2006/relationships/hyperlink" Target="consultantplus://offline/ref=70333DE1554D97784FC22A820130CF0FEAD31F7D7E763C3FEF4202B4725075961E16EBAD5800DF4Ar4n9M" TargetMode="External"/><Relationship Id="rId18" Type="http://schemas.openxmlformats.org/officeDocument/2006/relationships/hyperlink" Target="consultantplus://offline/ref=70333DE1554D97784FC22A820130CF0FEAD31F7D7E763C3FEF4202B4725075961E16EBAD5800DF47r4nBM" TargetMode="External"/><Relationship Id="rId26" Type="http://schemas.openxmlformats.org/officeDocument/2006/relationships/hyperlink" Target="consultantplus://offline/ref=70333DE1554D97784FC236820530CF0FE1D1197A77756135E71B0EB6r7n5M" TargetMode="External"/><Relationship Id="rId3" Type="http://schemas.openxmlformats.org/officeDocument/2006/relationships/settings" Target="settings.xml"/><Relationship Id="rId21" Type="http://schemas.openxmlformats.org/officeDocument/2006/relationships/hyperlink" Target="consultantplus://offline/ref=70333DE1554D97784FC22A820130CF0FEAD31F7D7E763C3FEF4202B4725075961E16EBAD5800DF46r4nDM" TargetMode="External"/><Relationship Id="rId34" Type="http://schemas.openxmlformats.org/officeDocument/2006/relationships/hyperlink" Target="consultantplus://offline/ref=70333DE1554D97784FC2348206589103E9DA4073777D376CB01004E32D0073C35Er5n6M" TargetMode="External"/><Relationship Id="rId7" Type="http://schemas.openxmlformats.org/officeDocument/2006/relationships/hyperlink" Target="consultantplus://offline/ref=70333DE1554D97784FC2348206589103E9DA4073777D376CB01004E32D0073C35Er5n6M" TargetMode="External"/><Relationship Id="rId12" Type="http://schemas.openxmlformats.org/officeDocument/2006/relationships/hyperlink" Target="consultantplus://offline/ref=70333DE1554D97784FC22A820130CF0FEAD31F7D7E763C3FEF4202B4725075961E16EBAD5800DF46r4nDM" TargetMode="External"/><Relationship Id="rId17" Type="http://schemas.openxmlformats.org/officeDocument/2006/relationships/hyperlink" Target="consultantplus://offline/ref=70333DE1554D97784FC22A820130CF0FEAD31F7D7E763C3FEF4202B4725075961E16EBAD5800DF47r4nBM" TargetMode="External"/><Relationship Id="rId25" Type="http://schemas.openxmlformats.org/officeDocument/2006/relationships/hyperlink" Target="consultantplus://offline/ref=70333DE1554D97784FC22A820130CF0FEAD31F7D7E763C3FEF4202B472r5n0M" TargetMode="External"/><Relationship Id="rId33" Type="http://schemas.openxmlformats.org/officeDocument/2006/relationships/hyperlink" Target="consultantplus://offline/ref=70333DE1554D97784FC22A820130CF0FEAD9187B72783C3FEF4202B4725075961E16EBAD5801DE43r4nA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0333DE1554D97784FC22A820130CF0FEAD31F7D7E763C3FEF4202B4725075961E16EBAD5800DF46r4nDM" TargetMode="External"/><Relationship Id="rId20" Type="http://schemas.openxmlformats.org/officeDocument/2006/relationships/hyperlink" Target="consultantplus://offline/ref=70333DE1554D97784FC22A820130CF0FEAD31F7D7E763C3FEF4202B4725075961E16EBAD5800DF4Ar4n9M" TargetMode="External"/><Relationship Id="rId29" Type="http://schemas.openxmlformats.org/officeDocument/2006/relationships/hyperlink" Target="consultantplus://offline/ref=70333DE1554D97784FC236820530CF0FE1D1197A77756135E71B0EB6r7n5M" TargetMode="External"/><Relationship Id="rId1" Type="http://schemas.openxmlformats.org/officeDocument/2006/relationships/styles" Target="styles.xml"/><Relationship Id="rId6" Type="http://schemas.openxmlformats.org/officeDocument/2006/relationships/hyperlink" Target="consultantplus://offline/ref=70333DE1554D97784FC22A820130CF0FEAD9187B72783C3FEF4202B4725075961E16EBAD5800D54Br4n9M" TargetMode="External"/><Relationship Id="rId11" Type="http://schemas.openxmlformats.org/officeDocument/2006/relationships/hyperlink" Target="consultantplus://offline/ref=70333DE1554D97784FC22A820130CF0FEAD31F7D7E763C3FEF4202B4725075961E16EBAD5800DF4Ar4nAM" TargetMode="External"/><Relationship Id="rId24" Type="http://schemas.openxmlformats.org/officeDocument/2006/relationships/hyperlink" Target="consultantplus://offline/ref=70333DE1554D97784FC22A820130CF0FEAD11D7F777A3C3FEF4202B4725075961E16EBAD5800D743r4n2M" TargetMode="External"/><Relationship Id="rId32" Type="http://schemas.openxmlformats.org/officeDocument/2006/relationships/hyperlink" Target="consultantplus://offline/ref=70333DE1554D97784FC22A820130CF0FEAD9187B72783C3FEF4202B4725075961E16EBAD5801DF4Ar4nCM" TargetMode="External"/><Relationship Id="rId37" Type="http://schemas.openxmlformats.org/officeDocument/2006/relationships/fontTable" Target="fontTable.xml"/><Relationship Id="rId5" Type="http://schemas.openxmlformats.org/officeDocument/2006/relationships/hyperlink" Target="consultantplus://offline/ref=70333DE1554D97784FC2348206589103E9DA4073777D376CB01004E32D0073C35Er5n6M" TargetMode="External"/><Relationship Id="rId15" Type="http://schemas.openxmlformats.org/officeDocument/2006/relationships/hyperlink" Target="consultantplus://offline/ref=70333DE1554D97784FC22A820130CF0FEAD31F7D7E763C3FEF4202B4725075961E16EBAD5800DF46r4nDM" TargetMode="External"/><Relationship Id="rId23" Type="http://schemas.openxmlformats.org/officeDocument/2006/relationships/hyperlink" Target="consultantplus://offline/ref=70333DE1554D97784FC22A820130CF0FEAD31F7D7E763C3FEF4202B4725075961E16EBAEr5nAM" TargetMode="External"/><Relationship Id="rId28" Type="http://schemas.openxmlformats.org/officeDocument/2006/relationships/hyperlink" Target="consultantplus://offline/ref=70333DE1554D97784FC22A820130CF0FEAD9187B72783C3FEF4202B4725075961E16EBAD5800D740r4nEM" TargetMode="External"/><Relationship Id="rId36" Type="http://schemas.openxmlformats.org/officeDocument/2006/relationships/hyperlink" Target="consultantplus://offline/ref=70333DE1554D97784FC22A820130CF0FEAD9187B72783C3FEF4202B4725075961E16EBAA51r0n9M" TargetMode="External"/><Relationship Id="rId10" Type="http://schemas.openxmlformats.org/officeDocument/2006/relationships/hyperlink" Target="consultantplus://offline/ref=70333DE1554D97784FC22A820130CF0FEAD31F7D7E763C3FEF4202B4725075961E16EBAD5800DF46r4nDM" TargetMode="External"/><Relationship Id="rId19" Type="http://schemas.openxmlformats.org/officeDocument/2006/relationships/hyperlink" Target="consultantplus://offline/ref=70333DE1554D97784FC22A820130CF0FEAD31F7D7E763C3FEF4202B4725075961E16EBAD5800DF47r4nBM" TargetMode="External"/><Relationship Id="rId31" Type="http://schemas.openxmlformats.org/officeDocument/2006/relationships/hyperlink" Target="consultantplus://offline/ref=70333DE1554D97784FC22A820130CF0FEAD9187B72783C3FEF4202B4725075961E16EBAD5801DF4Ar4n8M" TargetMode="External"/><Relationship Id="rId4" Type="http://schemas.openxmlformats.org/officeDocument/2006/relationships/webSettings" Target="webSettings.xml"/><Relationship Id="rId9" Type="http://schemas.openxmlformats.org/officeDocument/2006/relationships/hyperlink" Target="consultantplus://offline/ref=70333DE1554D97784FC22A820130CF0FEAD9187B72783C3FEF4202B4725075961E16EBAD5801DF4Ar4n9M" TargetMode="External"/><Relationship Id="rId14" Type="http://schemas.openxmlformats.org/officeDocument/2006/relationships/hyperlink" Target="consultantplus://offline/ref=70333DE1554D97784FC22A820130CF0FEAD31F7D7E763C3FEF4202B4725075961E16EBAD5800DF46r4nDM" TargetMode="External"/><Relationship Id="rId22" Type="http://schemas.openxmlformats.org/officeDocument/2006/relationships/hyperlink" Target="consultantplus://offline/ref=70333DE1554D97784FC22A820130CF0FEAD31F7D7E763C3FEF4202B472r5n0M" TargetMode="External"/><Relationship Id="rId27" Type="http://schemas.openxmlformats.org/officeDocument/2006/relationships/hyperlink" Target="consultantplus://offline/ref=70333DE1554D97784FC22A820130CF0FEAD0177F76773C3FEF4202B4725075961E16EBAD5801D34Br4n8M" TargetMode="External"/><Relationship Id="rId30" Type="http://schemas.openxmlformats.org/officeDocument/2006/relationships/hyperlink" Target="consultantplus://offline/ref=70333DE1554D97784FC22A820130CF0FEAD9187B72783C3FEF4202B4725075961E16EBAD5801DF4Ar4n8M" TargetMode="External"/><Relationship Id="rId35" Type="http://schemas.openxmlformats.org/officeDocument/2006/relationships/hyperlink" Target="consultantplus://offline/ref=70333DE1554D97784FC22A820130CF0FEAD9187B72783C3FEF4202B4725075961E16EBAA51r0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3423</Words>
  <Characters>19516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Хасанов Айдар Фанисович</dc:creator>
  <cp:lastModifiedBy>Хасанов Айдар Фанисович</cp:lastModifiedBy>
  <cp:revision>1</cp:revision>
  <dcterms:created xsi:type="dcterms:W3CDTF">2018-06-22T12:39:00Z</dcterms:created>
  <dcterms:modified xsi:type="dcterms:W3CDTF">2018-06-22T12:41:00Z</dcterms:modified>
</cp:coreProperties>
</file>