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12" w:rsidRPr="001074DC" w:rsidRDefault="00C72727" w:rsidP="00DB1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C">
        <w:rPr>
          <w:rFonts w:ascii="Times New Roman" w:hAnsi="Times New Roman" w:cs="Times New Roman"/>
          <w:b/>
          <w:sz w:val="28"/>
          <w:szCs w:val="28"/>
        </w:rPr>
        <w:t>Сводный</w:t>
      </w:r>
      <w:r w:rsidR="00796012" w:rsidRPr="001074DC">
        <w:rPr>
          <w:rFonts w:ascii="Times New Roman" w:hAnsi="Times New Roman" w:cs="Times New Roman"/>
          <w:b/>
          <w:sz w:val="28"/>
          <w:szCs w:val="28"/>
        </w:rPr>
        <w:t xml:space="preserve"> аналитический отчет</w:t>
      </w:r>
    </w:p>
    <w:p w:rsidR="00796012" w:rsidRDefault="00796012" w:rsidP="00DB1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DC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закупок за 2017 год </w:t>
      </w:r>
    </w:p>
    <w:p w:rsidR="004068F7" w:rsidRPr="001074DC" w:rsidRDefault="004068F7" w:rsidP="00DB10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70" w:rsidRPr="001074DC" w:rsidRDefault="00E71650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C2270" w:rsidRPr="001074DC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 №</w:t>
      </w:r>
      <w:r w:rsidR="00BE5120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DC2270" w:rsidRPr="001074DC">
        <w:rPr>
          <w:rFonts w:ascii="Times New Roman" w:hAnsi="Times New Roman" w:cs="Times New Roman"/>
          <w:sz w:val="28"/>
          <w:szCs w:val="28"/>
        </w:rPr>
        <w:t>1090 от 31.12.2016</w:t>
      </w:r>
      <w:r w:rsidR="00DD7DF3" w:rsidRPr="001074DC">
        <w:rPr>
          <w:rFonts w:ascii="Times New Roman" w:hAnsi="Times New Roman" w:cs="Times New Roman"/>
          <w:sz w:val="28"/>
          <w:szCs w:val="28"/>
        </w:rPr>
        <w:t xml:space="preserve"> г.</w:t>
      </w:r>
      <w:r w:rsidR="001A38DB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1539A2" w:rsidRPr="001074D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комитетом Республики Татарстан по закупкам (далее – Государственный комитет) </w:t>
      </w:r>
      <w:r w:rsidRPr="001074DC"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DC2270" w:rsidRPr="001074D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r w:rsidRPr="001074DC">
        <w:rPr>
          <w:rFonts w:ascii="Times New Roman" w:hAnsi="Times New Roman" w:cs="Times New Roman"/>
          <w:sz w:val="28"/>
          <w:szCs w:val="28"/>
        </w:rPr>
        <w:t>государственных заказчиков</w:t>
      </w:r>
      <w:r w:rsidR="00DC2270" w:rsidRPr="001074DC">
        <w:rPr>
          <w:rFonts w:ascii="Times New Roman" w:hAnsi="Times New Roman" w:cs="Times New Roman"/>
          <w:sz w:val="28"/>
          <w:szCs w:val="28"/>
        </w:rPr>
        <w:t xml:space="preserve"> Республики Татарстан с начальной (максимальной) ценой </w:t>
      </w:r>
      <w:r w:rsidR="00C72727" w:rsidRPr="001074DC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83548B" w:rsidRPr="001074DC">
        <w:rPr>
          <w:rFonts w:ascii="Times New Roman" w:hAnsi="Times New Roman" w:cs="Times New Roman"/>
          <w:sz w:val="28"/>
          <w:szCs w:val="28"/>
        </w:rPr>
        <w:t>(далее – Н</w:t>
      </w:r>
      <w:proofErr w:type="gramStart"/>
      <w:r w:rsidR="0083548B" w:rsidRPr="001074D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3548B" w:rsidRPr="001074DC">
        <w:rPr>
          <w:rFonts w:ascii="Times New Roman" w:hAnsi="Times New Roman" w:cs="Times New Roman"/>
          <w:sz w:val="28"/>
          <w:szCs w:val="28"/>
        </w:rPr>
        <w:t>Ц)</w:t>
      </w:r>
      <w:r w:rsidR="00C72727" w:rsidRPr="001074DC">
        <w:rPr>
          <w:rFonts w:ascii="Times New Roman" w:hAnsi="Times New Roman" w:cs="Times New Roman"/>
          <w:sz w:val="28"/>
          <w:szCs w:val="28"/>
        </w:rPr>
        <w:t>К</w:t>
      </w:r>
      <w:r w:rsidR="0083548B" w:rsidRPr="001074DC">
        <w:rPr>
          <w:rFonts w:ascii="Times New Roman" w:hAnsi="Times New Roman" w:cs="Times New Roman"/>
          <w:sz w:val="28"/>
          <w:szCs w:val="28"/>
        </w:rPr>
        <w:t xml:space="preserve">) </w:t>
      </w:r>
      <w:r w:rsidR="00DC2270" w:rsidRPr="001074DC">
        <w:rPr>
          <w:rFonts w:ascii="Times New Roman" w:hAnsi="Times New Roman" w:cs="Times New Roman"/>
          <w:sz w:val="28"/>
          <w:szCs w:val="28"/>
        </w:rPr>
        <w:t>свыше 50 млн. рублей</w:t>
      </w:r>
      <w:r w:rsidR="00EE6F6E" w:rsidRPr="001074DC">
        <w:rPr>
          <w:rFonts w:ascii="Times New Roman" w:hAnsi="Times New Roman" w:cs="Times New Roman"/>
          <w:sz w:val="28"/>
          <w:szCs w:val="28"/>
        </w:rPr>
        <w:t>.</w:t>
      </w:r>
      <w:r w:rsidR="00762DE0" w:rsidRPr="0010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B8" w:rsidRDefault="00C72727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color w:val="000000" w:themeColor="text1"/>
          <w:sz w:val="28"/>
          <w:szCs w:val="28"/>
        </w:rPr>
        <w:t>Сводный а</w:t>
      </w:r>
      <w:r w:rsidR="00FC4BD4" w:rsidRPr="001074DC">
        <w:rPr>
          <w:rFonts w:ascii="Times New Roman" w:hAnsi="Times New Roman" w:cs="Times New Roman"/>
          <w:color w:val="000000" w:themeColor="text1"/>
          <w:sz w:val="28"/>
          <w:szCs w:val="28"/>
        </w:rPr>
        <w:t>налитический отчет подготовлен на основании данных</w:t>
      </w:r>
      <w:r w:rsidR="00BC5EB8" w:rsidRPr="001074DC">
        <w:rPr>
          <w:rFonts w:ascii="Times New Roman" w:hAnsi="Times New Roman" w:cs="Times New Roman"/>
          <w:sz w:val="28"/>
          <w:szCs w:val="28"/>
        </w:rPr>
        <w:t>, содержащ</w:t>
      </w:r>
      <w:r w:rsidR="001539A2" w:rsidRPr="001074DC">
        <w:rPr>
          <w:rFonts w:ascii="Times New Roman" w:hAnsi="Times New Roman" w:cs="Times New Roman"/>
          <w:sz w:val="28"/>
          <w:szCs w:val="28"/>
        </w:rPr>
        <w:t>ихся</w:t>
      </w:r>
      <w:r w:rsidR="00BC5EB8" w:rsidRPr="001074DC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FC4BD4" w:rsidRPr="0010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ЕИС)</w:t>
      </w:r>
      <w:r w:rsidR="00BC5EB8" w:rsidRPr="001074DC">
        <w:rPr>
          <w:rFonts w:ascii="Times New Roman" w:hAnsi="Times New Roman" w:cs="Times New Roman"/>
          <w:sz w:val="28"/>
          <w:szCs w:val="28"/>
        </w:rPr>
        <w:t xml:space="preserve"> и системе Электронное правосудие (kad.arbitr.ru)</w:t>
      </w:r>
      <w:r w:rsidR="00796012" w:rsidRPr="001074DC">
        <w:rPr>
          <w:rFonts w:ascii="Times New Roman" w:hAnsi="Times New Roman" w:cs="Times New Roman"/>
          <w:sz w:val="28"/>
          <w:szCs w:val="28"/>
        </w:rPr>
        <w:t xml:space="preserve"> за период с 1 </w:t>
      </w:r>
      <w:r w:rsidRPr="001074DC">
        <w:rPr>
          <w:rFonts w:ascii="Times New Roman" w:hAnsi="Times New Roman" w:cs="Times New Roman"/>
          <w:sz w:val="28"/>
          <w:szCs w:val="28"/>
        </w:rPr>
        <w:t>января</w:t>
      </w:r>
      <w:r w:rsidR="00796012" w:rsidRPr="001074DC">
        <w:rPr>
          <w:rFonts w:ascii="Times New Roman" w:hAnsi="Times New Roman" w:cs="Times New Roman"/>
          <w:sz w:val="28"/>
          <w:szCs w:val="28"/>
        </w:rPr>
        <w:t xml:space="preserve"> по 31 декабря 2017 г.</w:t>
      </w:r>
    </w:p>
    <w:p w:rsidR="00DB105B" w:rsidRPr="001074DC" w:rsidRDefault="00DB105B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BC0" w:rsidRPr="001074DC" w:rsidRDefault="00E00BC0" w:rsidP="00DB105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eastAsia="Times New Roman" w:hAnsi="Times New Roman" w:cs="Times New Roman"/>
          <w:b/>
          <w:sz w:val="28"/>
          <w:szCs w:val="28"/>
        </w:rPr>
        <w:t>Планирование закупок</w:t>
      </w:r>
    </w:p>
    <w:p w:rsidR="006E6BE3" w:rsidRPr="001074DC" w:rsidRDefault="00EC406E" w:rsidP="00DB105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74DC">
        <w:rPr>
          <w:rFonts w:eastAsia="Times New Roman"/>
          <w:bCs/>
          <w:color w:val="0D0D0D"/>
          <w:sz w:val="28"/>
          <w:szCs w:val="28"/>
        </w:rPr>
        <w:t>Согласно информации</w:t>
      </w:r>
      <w:r w:rsidR="009135C0">
        <w:rPr>
          <w:rFonts w:eastAsia="Times New Roman"/>
          <w:bCs/>
          <w:color w:val="0D0D0D"/>
          <w:sz w:val="28"/>
          <w:szCs w:val="28"/>
        </w:rPr>
        <w:t>,</w:t>
      </w:r>
      <w:r w:rsidRPr="001074DC">
        <w:rPr>
          <w:rFonts w:eastAsia="Times New Roman"/>
          <w:bCs/>
          <w:color w:val="0D0D0D"/>
          <w:sz w:val="28"/>
          <w:szCs w:val="28"/>
        </w:rPr>
        <w:t xml:space="preserve"> представленной в ЕИС</w:t>
      </w:r>
      <w:r w:rsidR="009135C0">
        <w:rPr>
          <w:rFonts w:eastAsia="Times New Roman"/>
          <w:bCs/>
          <w:color w:val="0D0D0D"/>
          <w:sz w:val="28"/>
          <w:szCs w:val="28"/>
        </w:rPr>
        <w:t>,</w:t>
      </w:r>
      <w:r w:rsidRPr="001074DC">
        <w:rPr>
          <w:rFonts w:eastAsia="Times New Roman"/>
          <w:bCs/>
          <w:color w:val="0D0D0D"/>
          <w:sz w:val="28"/>
          <w:szCs w:val="28"/>
        </w:rPr>
        <w:t xml:space="preserve"> в</w:t>
      </w:r>
      <w:r w:rsidR="00265C51" w:rsidRPr="001074DC">
        <w:rPr>
          <w:sz w:val="28"/>
          <w:szCs w:val="28"/>
        </w:rPr>
        <w:t xml:space="preserve"> соответствии с планами-графиками закупок</w:t>
      </w:r>
      <w:r w:rsidR="006A1314" w:rsidRPr="001074DC">
        <w:rPr>
          <w:sz w:val="28"/>
          <w:szCs w:val="28"/>
        </w:rPr>
        <w:t xml:space="preserve"> за 2017 год</w:t>
      </w:r>
      <w:r w:rsidR="00265C51" w:rsidRPr="001074DC">
        <w:rPr>
          <w:sz w:val="28"/>
          <w:szCs w:val="28"/>
        </w:rPr>
        <w:t xml:space="preserve"> фактически опубликовано </w:t>
      </w:r>
      <w:r w:rsidR="00CF7155" w:rsidRPr="001074DC">
        <w:rPr>
          <w:sz w:val="28"/>
          <w:szCs w:val="28"/>
        </w:rPr>
        <w:t xml:space="preserve">461 </w:t>
      </w:r>
      <w:r w:rsidR="0006319F" w:rsidRPr="001074DC">
        <w:rPr>
          <w:sz w:val="28"/>
          <w:szCs w:val="28"/>
        </w:rPr>
        <w:t>извещени</w:t>
      </w:r>
      <w:r w:rsidR="0006319F">
        <w:rPr>
          <w:sz w:val="28"/>
          <w:szCs w:val="28"/>
        </w:rPr>
        <w:t>е</w:t>
      </w:r>
      <w:r w:rsidR="0006319F" w:rsidRPr="001074DC">
        <w:rPr>
          <w:sz w:val="28"/>
          <w:szCs w:val="28"/>
        </w:rPr>
        <w:t xml:space="preserve"> </w:t>
      </w:r>
      <w:r w:rsidR="00265C51" w:rsidRPr="001074DC">
        <w:rPr>
          <w:sz w:val="28"/>
          <w:szCs w:val="28"/>
        </w:rPr>
        <w:t xml:space="preserve">об осуществлении закупок на сумму </w:t>
      </w:r>
      <w:r w:rsidR="00DA2976" w:rsidRPr="001074DC">
        <w:rPr>
          <w:sz w:val="28"/>
          <w:szCs w:val="28"/>
        </w:rPr>
        <w:t xml:space="preserve">73 969 634 </w:t>
      </w:r>
      <w:r w:rsidR="0006319F">
        <w:rPr>
          <w:sz w:val="28"/>
          <w:szCs w:val="28"/>
        </w:rPr>
        <w:t>599</w:t>
      </w:r>
      <w:r w:rsidR="0006319F" w:rsidRPr="001074DC">
        <w:rPr>
          <w:sz w:val="28"/>
          <w:szCs w:val="28"/>
        </w:rPr>
        <w:t xml:space="preserve"> </w:t>
      </w:r>
      <w:r w:rsidR="00BC6494" w:rsidRPr="001074DC">
        <w:rPr>
          <w:sz w:val="28"/>
          <w:szCs w:val="28"/>
        </w:rPr>
        <w:t>рублей</w:t>
      </w:r>
      <w:r w:rsidR="0006319F">
        <w:rPr>
          <w:sz w:val="28"/>
          <w:szCs w:val="28"/>
        </w:rPr>
        <w:t xml:space="preserve"> 55 копеек</w:t>
      </w:r>
      <w:r w:rsidR="006E6BE3" w:rsidRPr="001074DC">
        <w:rPr>
          <w:sz w:val="28"/>
          <w:szCs w:val="28"/>
        </w:rPr>
        <w:t>, из них 322 процедуры определения поставщика состоял</w:t>
      </w:r>
      <w:r w:rsidR="00FE64C3" w:rsidRPr="001074DC">
        <w:rPr>
          <w:sz w:val="28"/>
          <w:szCs w:val="28"/>
        </w:rPr>
        <w:t>и</w:t>
      </w:r>
      <w:r w:rsidR="006E6BE3" w:rsidRPr="001074DC">
        <w:rPr>
          <w:sz w:val="28"/>
          <w:szCs w:val="28"/>
        </w:rPr>
        <w:t>сь. Доля несостоявшихся процедур</w:t>
      </w:r>
      <w:r w:rsidR="00F41787">
        <w:rPr>
          <w:sz w:val="28"/>
          <w:szCs w:val="28"/>
        </w:rPr>
        <w:t xml:space="preserve">, </w:t>
      </w:r>
      <w:r w:rsidR="00F41787" w:rsidRPr="001074DC">
        <w:rPr>
          <w:sz w:val="28"/>
          <w:szCs w:val="28"/>
        </w:rPr>
        <w:t xml:space="preserve">которые не привели к заключению </w:t>
      </w:r>
      <w:r w:rsidR="00F41787" w:rsidRPr="00B1661D">
        <w:rPr>
          <w:sz w:val="28"/>
          <w:szCs w:val="28"/>
        </w:rPr>
        <w:t>контрактов</w:t>
      </w:r>
      <w:r w:rsidR="00F41787">
        <w:rPr>
          <w:sz w:val="28"/>
          <w:szCs w:val="28"/>
        </w:rPr>
        <w:t>,</w:t>
      </w:r>
      <w:r w:rsidR="006E6BE3" w:rsidRPr="001074DC">
        <w:rPr>
          <w:sz w:val="28"/>
          <w:szCs w:val="28"/>
        </w:rPr>
        <w:t xml:space="preserve"> от общего количества и </w:t>
      </w:r>
      <w:proofErr w:type="gramStart"/>
      <w:r w:rsidR="006E6BE3" w:rsidRPr="001074DC">
        <w:rPr>
          <w:sz w:val="28"/>
          <w:szCs w:val="28"/>
        </w:rPr>
        <w:t>объема</w:t>
      </w:r>
      <w:proofErr w:type="gramEnd"/>
      <w:r w:rsidR="006E6BE3" w:rsidRPr="001074DC">
        <w:rPr>
          <w:sz w:val="28"/>
          <w:szCs w:val="28"/>
        </w:rPr>
        <w:t xml:space="preserve"> размещенных в отчетном периоде извещений </w:t>
      </w:r>
      <w:r w:rsidR="006E6BE3" w:rsidRPr="00B1661D">
        <w:rPr>
          <w:sz w:val="28"/>
          <w:szCs w:val="28"/>
        </w:rPr>
        <w:t>составила 1,3 % в количественном и 1,69 % в суммарном выражении, 24 процедуры закупок были отменены.</w:t>
      </w:r>
    </w:p>
    <w:p w:rsidR="006A1314" w:rsidRPr="001074DC" w:rsidRDefault="006A1314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 xml:space="preserve">Значительная часть закупок, </w:t>
      </w:r>
      <w:proofErr w:type="gramStart"/>
      <w:r w:rsidR="00EC406E" w:rsidRPr="001074DC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1074DC">
        <w:rPr>
          <w:rFonts w:ascii="Times New Roman" w:hAnsi="Times New Roman" w:cs="Times New Roman"/>
          <w:sz w:val="28"/>
          <w:szCs w:val="28"/>
        </w:rPr>
        <w:t xml:space="preserve"> о проведении которых были опубликованы в отчетном периоде, осуществлен</w:t>
      </w:r>
      <w:r w:rsidR="004068F7">
        <w:rPr>
          <w:rFonts w:ascii="Times New Roman" w:hAnsi="Times New Roman" w:cs="Times New Roman"/>
          <w:sz w:val="28"/>
          <w:szCs w:val="28"/>
        </w:rPr>
        <w:t>ы</w:t>
      </w:r>
      <w:r w:rsidR="00453EC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074DC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Татарстан. Суммарное значение Н</w:t>
      </w:r>
      <w:proofErr w:type="gramStart"/>
      <w:r w:rsidRPr="001074D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074DC">
        <w:rPr>
          <w:rFonts w:ascii="Times New Roman" w:hAnsi="Times New Roman" w:cs="Times New Roman"/>
          <w:sz w:val="28"/>
          <w:szCs w:val="28"/>
        </w:rPr>
        <w:t>Ц)К таких закупок составляет 50 340 142 466 рублей</w:t>
      </w:r>
      <w:r w:rsidR="00453EC5">
        <w:rPr>
          <w:rFonts w:ascii="Times New Roman" w:hAnsi="Times New Roman" w:cs="Times New Roman"/>
          <w:sz w:val="28"/>
          <w:szCs w:val="28"/>
        </w:rPr>
        <w:t xml:space="preserve"> 22 копейки</w:t>
      </w:r>
      <w:r w:rsidR="00EC406E" w:rsidRPr="001074DC">
        <w:rPr>
          <w:rFonts w:ascii="Times New Roman" w:hAnsi="Times New Roman" w:cs="Times New Roman"/>
          <w:sz w:val="28"/>
          <w:szCs w:val="28"/>
        </w:rPr>
        <w:t>, это</w:t>
      </w:r>
      <w:r w:rsidRPr="001074DC">
        <w:rPr>
          <w:rFonts w:ascii="Times New Roman" w:hAnsi="Times New Roman" w:cs="Times New Roman"/>
          <w:sz w:val="28"/>
          <w:szCs w:val="28"/>
        </w:rPr>
        <w:t xml:space="preserve"> 68% от общего суммарного значения  НМ(Ц)К.</w:t>
      </w:r>
    </w:p>
    <w:p w:rsidR="006A1314" w:rsidRPr="001074DC" w:rsidRDefault="006A1314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 xml:space="preserve">Анализ структуры закупок показал, что наиболее предпочтительным конкурентным способом определения поставщика является электронный </w:t>
      </w:r>
      <w:r w:rsidRPr="001074DC">
        <w:rPr>
          <w:rFonts w:ascii="Times New Roman" w:hAnsi="Times New Roman" w:cs="Times New Roman"/>
          <w:sz w:val="28"/>
          <w:szCs w:val="28"/>
        </w:rPr>
        <w:lastRenderedPageBreak/>
        <w:t xml:space="preserve">аукцион, доля которого составляет </w:t>
      </w:r>
      <w:r w:rsidR="00A776CD" w:rsidRPr="001074DC">
        <w:rPr>
          <w:rFonts w:ascii="Times New Roman" w:hAnsi="Times New Roman" w:cs="Times New Roman"/>
          <w:sz w:val="28"/>
          <w:szCs w:val="28"/>
        </w:rPr>
        <w:t>9</w:t>
      </w:r>
      <w:r w:rsidR="00A776CD">
        <w:rPr>
          <w:rFonts w:ascii="Times New Roman" w:hAnsi="Times New Roman" w:cs="Times New Roman"/>
          <w:sz w:val="28"/>
          <w:szCs w:val="28"/>
        </w:rPr>
        <w:t>3</w:t>
      </w:r>
      <w:r w:rsidRPr="001074DC">
        <w:rPr>
          <w:rFonts w:ascii="Times New Roman" w:hAnsi="Times New Roman" w:cs="Times New Roman"/>
          <w:sz w:val="28"/>
          <w:szCs w:val="28"/>
        </w:rPr>
        <w:t>% от общего количества размещенных в ЕИС извещений.</w:t>
      </w:r>
    </w:p>
    <w:p w:rsidR="006A1314" w:rsidRPr="001074DC" w:rsidRDefault="006A1314" w:rsidP="00DB1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AE" w:rsidRDefault="00100EAE" w:rsidP="00A33D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8657" cy="3536830"/>
            <wp:effectExtent l="0" t="0" r="1714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494" w:rsidRPr="00B1661D" w:rsidRDefault="00BC6494" w:rsidP="00B166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61D">
        <w:rPr>
          <w:rFonts w:ascii="Times New Roman" w:eastAsia="Times New Roman" w:hAnsi="Times New Roman" w:cs="Times New Roman"/>
          <w:sz w:val="28"/>
          <w:szCs w:val="28"/>
        </w:rPr>
        <w:t>Основаниями внесения изменений в планы-графики</w:t>
      </w:r>
      <w:r w:rsidR="00B1661D" w:rsidRPr="00B1661D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Pr="00B1661D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="00B1661D" w:rsidRPr="00B1661D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B5111A" w:rsidRPr="00B1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61D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B1661D" w:rsidRPr="00B166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661D">
        <w:rPr>
          <w:rFonts w:ascii="Times New Roman" w:eastAsia="Times New Roman" w:hAnsi="Times New Roman" w:cs="Times New Roman"/>
          <w:sz w:val="28"/>
          <w:szCs w:val="28"/>
        </w:rPr>
        <w:t>, предвидеть которые на дату утверждения плана-</w:t>
      </w:r>
      <w:r w:rsidR="00B5111A" w:rsidRPr="00B1661D">
        <w:rPr>
          <w:rFonts w:ascii="Times New Roman" w:eastAsia="Times New Roman" w:hAnsi="Times New Roman" w:cs="Times New Roman"/>
          <w:sz w:val="28"/>
          <w:szCs w:val="28"/>
        </w:rPr>
        <w:t>графика закупок было невозможно:</w:t>
      </w:r>
      <w:r w:rsidR="00265C51" w:rsidRPr="00B16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11A" w:rsidRPr="00B1661D" w:rsidRDefault="00B5111A" w:rsidP="00B1661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1661D">
        <w:rPr>
          <w:color w:val="auto"/>
          <w:sz w:val="28"/>
          <w:szCs w:val="28"/>
        </w:rPr>
        <w:t xml:space="preserve">- признание несостоявшейся процедуры определения поставщика (подрядчика, исполнителя), </w:t>
      </w:r>
    </w:p>
    <w:p w:rsidR="00B5111A" w:rsidRPr="00B1661D" w:rsidRDefault="00B5111A" w:rsidP="00B1661D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1661D">
        <w:rPr>
          <w:rFonts w:eastAsia="Times New Roman"/>
          <w:color w:val="auto"/>
          <w:sz w:val="28"/>
          <w:szCs w:val="28"/>
        </w:rPr>
        <w:t xml:space="preserve">- </w:t>
      </w:r>
      <w:r w:rsidR="00BC6494" w:rsidRPr="00B1661D">
        <w:rPr>
          <w:rFonts w:eastAsia="Times New Roman"/>
          <w:color w:val="auto"/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</w:t>
      </w:r>
      <w:r w:rsidRPr="00B1661D">
        <w:rPr>
          <w:rFonts w:eastAsia="Times New Roman"/>
          <w:color w:val="auto"/>
          <w:sz w:val="28"/>
          <w:szCs w:val="28"/>
        </w:rPr>
        <w:t>полнения работ, оказания услуг;</w:t>
      </w:r>
    </w:p>
    <w:p w:rsidR="00B5111A" w:rsidRPr="00B1661D" w:rsidRDefault="00B5111A" w:rsidP="00B1661D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1661D">
        <w:rPr>
          <w:rFonts w:eastAsia="Times New Roman"/>
          <w:color w:val="auto"/>
          <w:sz w:val="28"/>
          <w:szCs w:val="28"/>
        </w:rPr>
        <w:t xml:space="preserve">- изменение </w:t>
      </w:r>
      <w:r w:rsidR="00BC6494" w:rsidRPr="00B1661D">
        <w:rPr>
          <w:rFonts w:eastAsia="Times New Roman"/>
          <w:color w:val="auto"/>
          <w:sz w:val="28"/>
          <w:szCs w:val="28"/>
        </w:rPr>
        <w:t>способа определения поставщика (подрядчика, исполнителя)</w:t>
      </w:r>
      <w:r w:rsidRPr="00B1661D">
        <w:rPr>
          <w:rFonts w:eastAsia="Times New Roman"/>
          <w:color w:val="auto"/>
          <w:sz w:val="28"/>
          <w:szCs w:val="28"/>
        </w:rPr>
        <w:t>;</w:t>
      </w:r>
      <w:r w:rsidR="00BC6494" w:rsidRPr="00B1661D">
        <w:rPr>
          <w:rFonts w:eastAsia="Times New Roman"/>
          <w:color w:val="auto"/>
          <w:sz w:val="28"/>
          <w:szCs w:val="28"/>
        </w:rPr>
        <w:t xml:space="preserve"> </w:t>
      </w:r>
    </w:p>
    <w:p w:rsidR="00B5111A" w:rsidRPr="00B1661D" w:rsidRDefault="00B5111A" w:rsidP="00B1661D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1661D">
        <w:rPr>
          <w:rFonts w:eastAsia="Times New Roman"/>
          <w:color w:val="auto"/>
          <w:sz w:val="28"/>
          <w:szCs w:val="28"/>
        </w:rPr>
        <w:t xml:space="preserve">- </w:t>
      </w:r>
      <w:r w:rsidR="00BC6494" w:rsidRPr="00B1661D">
        <w:rPr>
          <w:rFonts w:eastAsia="Times New Roman"/>
          <w:color w:val="auto"/>
          <w:sz w:val="28"/>
          <w:szCs w:val="28"/>
        </w:rPr>
        <w:t>этапов оплаты и (или) размера аванса</w:t>
      </w:r>
      <w:r w:rsidRPr="00B1661D">
        <w:rPr>
          <w:rFonts w:eastAsia="Times New Roman"/>
          <w:color w:val="auto"/>
          <w:sz w:val="28"/>
          <w:szCs w:val="28"/>
        </w:rPr>
        <w:t>;</w:t>
      </w:r>
    </w:p>
    <w:p w:rsidR="00BC6494" w:rsidRPr="00B1661D" w:rsidRDefault="00B5111A" w:rsidP="00B1661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1661D">
        <w:rPr>
          <w:rFonts w:eastAsia="Times New Roman"/>
          <w:color w:val="auto"/>
          <w:sz w:val="28"/>
          <w:szCs w:val="28"/>
        </w:rPr>
        <w:t xml:space="preserve">- </w:t>
      </w:r>
      <w:r w:rsidR="00BC6494" w:rsidRPr="00B1661D">
        <w:rPr>
          <w:rFonts w:eastAsia="Times New Roman"/>
          <w:color w:val="auto"/>
          <w:sz w:val="28"/>
          <w:szCs w:val="28"/>
        </w:rPr>
        <w:t>срока исполнения контракта</w:t>
      </w:r>
      <w:r w:rsidRPr="00B1661D">
        <w:rPr>
          <w:rFonts w:eastAsia="Times New Roman"/>
          <w:color w:val="auto"/>
          <w:sz w:val="28"/>
          <w:szCs w:val="28"/>
        </w:rPr>
        <w:t>.</w:t>
      </w:r>
    </w:p>
    <w:p w:rsidR="00DB105B" w:rsidRPr="00BC279C" w:rsidRDefault="00DB105B" w:rsidP="00BC2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11A" w:rsidRPr="001074DC" w:rsidRDefault="00B5111A" w:rsidP="00DB105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закупок</w:t>
      </w:r>
    </w:p>
    <w:p w:rsidR="000E02E6" w:rsidRPr="001074DC" w:rsidRDefault="00351AA9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 xml:space="preserve">По </w:t>
      </w:r>
      <w:r w:rsidR="00CF63A6" w:rsidRPr="001074DC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1074DC">
        <w:rPr>
          <w:rFonts w:ascii="Times New Roman" w:hAnsi="Times New Roman" w:cs="Times New Roman"/>
          <w:sz w:val="28"/>
          <w:szCs w:val="28"/>
        </w:rPr>
        <w:t xml:space="preserve">определения поставщиков </w:t>
      </w:r>
      <w:r w:rsidR="00CF63A6" w:rsidRPr="001074D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1074DC">
        <w:rPr>
          <w:rFonts w:ascii="Times New Roman" w:hAnsi="Times New Roman" w:cs="Times New Roman"/>
          <w:sz w:val="28"/>
          <w:szCs w:val="28"/>
        </w:rPr>
        <w:t xml:space="preserve">заказчиками заключено </w:t>
      </w:r>
      <w:r w:rsidR="00FD5937" w:rsidRPr="001074DC">
        <w:rPr>
          <w:rFonts w:ascii="Times New Roman" w:hAnsi="Times New Roman" w:cs="Times New Roman"/>
          <w:sz w:val="28"/>
          <w:szCs w:val="28"/>
        </w:rPr>
        <w:t>385</w:t>
      </w:r>
      <w:r w:rsidRPr="001074DC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DF2A07" w:rsidRPr="001074DC">
        <w:rPr>
          <w:rFonts w:ascii="Times New Roman" w:hAnsi="Times New Roman" w:cs="Times New Roman"/>
          <w:sz w:val="28"/>
          <w:szCs w:val="28"/>
        </w:rPr>
        <w:t xml:space="preserve">56 734 698 </w:t>
      </w:r>
      <w:r w:rsidR="00AB584B" w:rsidRPr="001074DC">
        <w:rPr>
          <w:rFonts w:ascii="Times New Roman" w:hAnsi="Times New Roman" w:cs="Times New Roman"/>
          <w:sz w:val="28"/>
          <w:szCs w:val="28"/>
        </w:rPr>
        <w:t>75</w:t>
      </w:r>
      <w:r w:rsidR="00AB584B">
        <w:rPr>
          <w:rFonts w:ascii="Times New Roman" w:hAnsi="Times New Roman" w:cs="Times New Roman"/>
          <w:sz w:val="28"/>
          <w:szCs w:val="28"/>
        </w:rPr>
        <w:t>0</w:t>
      </w:r>
      <w:r w:rsidR="00AB584B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>рублей</w:t>
      </w:r>
      <w:r w:rsidR="00AB584B">
        <w:rPr>
          <w:rFonts w:ascii="Times New Roman" w:hAnsi="Times New Roman" w:cs="Times New Roman"/>
          <w:sz w:val="28"/>
          <w:szCs w:val="28"/>
        </w:rPr>
        <w:t xml:space="preserve"> 76 копеек</w:t>
      </w:r>
      <w:r w:rsidR="000E02E6" w:rsidRPr="001074DC">
        <w:rPr>
          <w:rFonts w:ascii="Times New Roman" w:hAnsi="Times New Roman" w:cs="Times New Roman"/>
          <w:sz w:val="28"/>
          <w:szCs w:val="28"/>
        </w:rPr>
        <w:t>.</w:t>
      </w:r>
    </w:p>
    <w:p w:rsidR="00CF63A6" w:rsidRPr="001074DC" w:rsidRDefault="00CF63A6" w:rsidP="00DB105B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состоявшихся процедур было заключено 290 контрактов  (75 % от общего количества контрактов) с суммарной ценой 45 134 139 671 </w:t>
      </w:r>
      <w:r w:rsidR="00AB584B" w:rsidRPr="001074DC">
        <w:rPr>
          <w:rFonts w:ascii="Times New Roman" w:hAnsi="Times New Roman" w:cs="Times New Roman"/>
          <w:sz w:val="28"/>
          <w:szCs w:val="28"/>
        </w:rPr>
        <w:t>рубл</w:t>
      </w:r>
      <w:r w:rsidR="00AB584B">
        <w:rPr>
          <w:rFonts w:ascii="Times New Roman" w:hAnsi="Times New Roman" w:cs="Times New Roman"/>
          <w:sz w:val="28"/>
          <w:szCs w:val="28"/>
        </w:rPr>
        <w:t>ь 29 копеек</w:t>
      </w:r>
      <w:r w:rsidR="00AB584B" w:rsidRPr="00107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bCs/>
          <w:sz w:val="28"/>
          <w:szCs w:val="28"/>
        </w:rPr>
        <w:t>(80% от общей суммы контрактов).</w:t>
      </w:r>
    </w:p>
    <w:p w:rsidR="00CF63A6" w:rsidRPr="001074DC" w:rsidRDefault="001D4F2A" w:rsidP="00DB105B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 xml:space="preserve">С единственным поставщиком  </w:t>
      </w:r>
      <w:r w:rsidR="00294699" w:rsidRPr="001074DC">
        <w:rPr>
          <w:rFonts w:ascii="Times New Roman" w:hAnsi="Times New Roman" w:cs="Times New Roman"/>
          <w:sz w:val="28"/>
          <w:szCs w:val="28"/>
        </w:rPr>
        <w:t xml:space="preserve">(подрядчиком, исполнителем), </w:t>
      </w:r>
      <w:r w:rsidRPr="001074DC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CF63A6" w:rsidRPr="001074DC">
        <w:rPr>
          <w:rFonts w:ascii="Times New Roman" w:hAnsi="Times New Roman" w:cs="Times New Roman"/>
          <w:bCs/>
          <w:sz w:val="28"/>
          <w:szCs w:val="28"/>
        </w:rPr>
        <w:t xml:space="preserve">95 </w:t>
      </w:r>
      <w:r w:rsidR="00FE64C3" w:rsidRPr="001074DC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="00CF63A6" w:rsidRPr="001074DC">
        <w:rPr>
          <w:rFonts w:ascii="Times New Roman" w:hAnsi="Times New Roman" w:cs="Times New Roman"/>
          <w:bCs/>
          <w:sz w:val="28"/>
          <w:szCs w:val="28"/>
        </w:rPr>
        <w:t xml:space="preserve"> (25% </w:t>
      </w:r>
      <w:r w:rsidR="00CF63A6" w:rsidRPr="001074DC">
        <w:rPr>
          <w:rFonts w:ascii="Times New Roman" w:hAnsi="Times New Roman" w:cs="Times New Roman"/>
          <w:sz w:val="28"/>
          <w:szCs w:val="28"/>
        </w:rPr>
        <w:t>от общего количества контрактов</w:t>
      </w:r>
      <w:r w:rsidR="00CF63A6" w:rsidRPr="001074DC">
        <w:rPr>
          <w:rFonts w:ascii="Times New Roman" w:hAnsi="Times New Roman" w:cs="Times New Roman"/>
          <w:bCs/>
          <w:sz w:val="28"/>
          <w:szCs w:val="28"/>
        </w:rPr>
        <w:t>)</w:t>
      </w:r>
      <w:r w:rsidR="00CF63A6" w:rsidRPr="001074DC">
        <w:rPr>
          <w:rFonts w:ascii="Times New Roman" w:hAnsi="Times New Roman" w:cs="Times New Roman"/>
          <w:sz w:val="28"/>
          <w:szCs w:val="28"/>
        </w:rPr>
        <w:t xml:space="preserve"> с суммарной ценой</w:t>
      </w:r>
      <w:r w:rsidR="00CF63A6" w:rsidRPr="00107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3A6" w:rsidRPr="001074DC">
        <w:rPr>
          <w:rFonts w:ascii="Times New Roman" w:hAnsi="Times New Roman" w:cs="Times New Roman"/>
          <w:sz w:val="28"/>
          <w:szCs w:val="28"/>
        </w:rPr>
        <w:t>11 600 559 079  рублей</w:t>
      </w:r>
      <w:r w:rsidR="00E71466">
        <w:rPr>
          <w:rFonts w:ascii="Times New Roman" w:hAnsi="Times New Roman" w:cs="Times New Roman"/>
          <w:sz w:val="28"/>
          <w:szCs w:val="28"/>
        </w:rPr>
        <w:t xml:space="preserve"> 47 копеек</w:t>
      </w:r>
      <w:r w:rsidR="00CF63A6" w:rsidRPr="001074DC">
        <w:rPr>
          <w:rFonts w:ascii="Times New Roman" w:hAnsi="Times New Roman" w:cs="Times New Roman"/>
          <w:sz w:val="28"/>
          <w:szCs w:val="28"/>
        </w:rPr>
        <w:t xml:space="preserve"> (20 % от общей суммы контрактов)</w:t>
      </w:r>
      <w:r w:rsidRPr="001074DC">
        <w:rPr>
          <w:rFonts w:ascii="Times New Roman" w:hAnsi="Times New Roman" w:cs="Times New Roman"/>
          <w:sz w:val="28"/>
          <w:szCs w:val="28"/>
        </w:rPr>
        <w:t>.</w:t>
      </w:r>
    </w:p>
    <w:p w:rsidR="00DF2A07" w:rsidRPr="001074DC" w:rsidRDefault="00DF2A07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 xml:space="preserve">В разрезе оснований для заключения контрактов с единственным поставщиком (подрядчиком, исполнителем), предусмотренных частью 1 статьи 93 </w:t>
      </w:r>
      <w:r w:rsidR="00294699" w:rsidRPr="001074DC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A6575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  <w:r w:rsidRPr="001074DC">
        <w:rPr>
          <w:rFonts w:ascii="Times New Roman" w:hAnsi="Times New Roman" w:cs="Times New Roman"/>
          <w:sz w:val="28"/>
          <w:szCs w:val="28"/>
        </w:rPr>
        <w:t>, контракты распределяются следующим образом:</w:t>
      </w:r>
    </w:p>
    <w:p w:rsidR="008A13A3" w:rsidRPr="001074DC" w:rsidRDefault="008A13A3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8A13A3" w:rsidRPr="001074DC" w:rsidTr="001074DC">
        <w:trPr>
          <w:trHeight w:val="76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Основания для осуществления закупки у единственного поставщика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Контракты, заключенные  по результатам закупки у единственного поставщика</w:t>
            </w:r>
          </w:p>
        </w:tc>
      </w:tr>
      <w:tr w:rsidR="008A13A3" w:rsidRPr="001074DC" w:rsidTr="001074DC">
        <w:trPr>
          <w:trHeight w:val="78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контрактов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стоимость контрактов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 ч.1 ст. 93 № 44-ФЗ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76 307 987,48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6 ч.1 ст. 93 № 44-ФЗ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1 289 620 075,24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8 ч.1 ст. 93 № 44-ФЗ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684 456 250,70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14 ч.1 ст. 93 № 44-ФЗ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160 622 028,05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25. ч.1 ст. 93 №44-ФЗ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9 389 552 738,00</w:t>
            </w:r>
          </w:p>
        </w:tc>
      </w:tr>
      <w:tr w:rsidR="008A13A3" w:rsidRPr="001074DC" w:rsidTr="001074DC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A3" w:rsidRPr="001074DC" w:rsidRDefault="008A13A3" w:rsidP="00DB105B">
            <w:pPr>
              <w:spacing w:after="0" w:line="36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A3" w:rsidRPr="001074DC" w:rsidRDefault="008A13A3" w:rsidP="00DB10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11 600 559 079,47</w:t>
            </w:r>
          </w:p>
        </w:tc>
      </w:tr>
    </w:tbl>
    <w:p w:rsidR="00F45684" w:rsidRPr="001074DC" w:rsidRDefault="00F45684" w:rsidP="00DB10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699" w:rsidRPr="001074DC" w:rsidRDefault="00294699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Основная часть закупок по заключенным контрактам финансируется из средств бюджета Республики Татарстан</w:t>
      </w:r>
      <w:r w:rsidR="0055531F" w:rsidRPr="001074DC">
        <w:rPr>
          <w:rFonts w:ascii="Times New Roman" w:hAnsi="Times New Roman" w:cs="Times New Roman"/>
          <w:sz w:val="28"/>
          <w:szCs w:val="28"/>
        </w:rPr>
        <w:t>,</w:t>
      </w:r>
      <w:r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55531F" w:rsidRPr="001074DC">
        <w:rPr>
          <w:rFonts w:ascii="Times New Roman" w:hAnsi="Times New Roman" w:cs="Times New Roman"/>
          <w:sz w:val="28"/>
          <w:szCs w:val="28"/>
        </w:rPr>
        <w:t>с</w:t>
      </w:r>
      <w:r w:rsidRPr="001074DC">
        <w:rPr>
          <w:rFonts w:ascii="Times New Roman" w:hAnsi="Times New Roman" w:cs="Times New Roman"/>
          <w:sz w:val="28"/>
          <w:szCs w:val="28"/>
        </w:rPr>
        <w:t>уммарная цена таких к</w:t>
      </w:r>
      <w:r w:rsidR="001074DC" w:rsidRPr="001074DC">
        <w:rPr>
          <w:rFonts w:ascii="Times New Roman" w:hAnsi="Times New Roman" w:cs="Times New Roman"/>
          <w:sz w:val="28"/>
          <w:szCs w:val="28"/>
        </w:rPr>
        <w:t xml:space="preserve">онтрактов составила </w:t>
      </w:r>
      <w:r w:rsidR="0055531F" w:rsidRPr="001074DC">
        <w:rPr>
          <w:rFonts w:ascii="Times New Roman" w:hAnsi="Times New Roman" w:cs="Times New Roman"/>
          <w:sz w:val="28"/>
          <w:szCs w:val="28"/>
        </w:rPr>
        <w:t>44 054 869 212</w:t>
      </w:r>
      <w:r w:rsidRPr="001074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A0E6E">
        <w:rPr>
          <w:rFonts w:ascii="Times New Roman" w:hAnsi="Times New Roman" w:cs="Times New Roman"/>
          <w:sz w:val="28"/>
          <w:szCs w:val="28"/>
        </w:rPr>
        <w:t xml:space="preserve"> 41 копейка</w:t>
      </w:r>
      <w:r w:rsidRPr="001074DC">
        <w:rPr>
          <w:rFonts w:ascii="Times New Roman" w:hAnsi="Times New Roman" w:cs="Times New Roman"/>
          <w:sz w:val="28"/>
          <w:szCs w:val="28"/>
        </w:rPr>
        <w:t xml:space="preserve"> (</w:t>
      </w:r>
      <w:r w:rsidR="0055531F" w:rsidRPr="001074DC">
        <w:rPr>
          <w:rFonts w:ascii="Times New Roman" w:hAnsi="Times New Roman" w:cs="Times New Roman"/>
          <w:sz w:val="28"/>
          <w:szCs w:val="28"/>
        </w:rPr>
        <w:t>78</w:t>
      </w:r>
      <w:r w:rsidRPr="001074DC">
        <w:rPr>
          <w:rFonts w:ascii="Times New Roman" w:hAnsi="Times New Roman" w:cs="Times New Roman"/>
          <w:sz w:val="28"/>
          <w:szCs w:val="28"/>
        </w:rPr>
        <w:t>% от общей суммы контрактов).</w:t>
      </w:r>
      <w:r w:rsidRPr="001074DC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F45684" w:rsidRPr="001074DC" w:rsidRDefault="007840BF" w:rsidP="00DB105B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lastRenderedPageBreak/>
        <w:t>За отчетный период</w:t>
      </w:r>
      <w:r w:rsidR="00F45684" w:rsidRPr="001074DC">
        <w:rPr>
          <w:rFonts w:ascii="Times New Roman" w:hAnsi="Times New Roman" w:cs="Times New Roman"/>
          <w:sz w:val="28"/>
          <w:szCs w:val="28"/>
        </w:rPr>
        <w:t xml:space="preserve"> было расторгнуто 34  контракта на общую сумму </w:t>
      </w:r>
      <w:r w:rsidR="009B4D5A" w:rsidRPr="001074DC">
        <w:rPr>
          <w:rFonts w:ascii="Times New Roman" w:hAnsi="Times New Roman" w:cs="Times New Roman"/>
          <w:sz w:val="28"/>
          <w:szCs w:val="28"/>
        </w:rPr>
        <w:t xml:space="preserve">5 380 995 979 </w:t>
      </w:r>
      <w:r w:rsidR="00F45684" w:rsidRPr="001074DC">
        <w:rPr>
          <w:rFonts w:ascii="Times New Roman" w:hAnsi="Times New Roman" w:cs="Times New Roman"/>
          <w:sz w:val="28"/>
          <w:szCs w:val="28"/>
        </w:rPr>
        <w:t>рублей</w:t>
      </w:r>
      <w:r w:rsidR="002202DF">
        <w:rPr>
          <w:rFonts w:ascii="Times New Roman" w:hAnsi="Times New Roman" w:cs="Times New Roman"/>
          <w:sz w:val="28"/>
          <w:szCs w:val="28"/>
        </w:rPr>
        <w:t xml:space="preserve"> 32 копейки</w:t>
      </w:r>
      <w:r w:rsidR="00F45684" w:rsidRPr="001074DC">
        <w:rPr>
          <w:rFonts w:ascii="Times New Roman" w:hAnsi="Times New Roman" w:cs="Times New Roman"/>
          <w:sz w:val="28"/>
          <w:szCs w:val="28"/>
        </w:rPr>
        <w:t xml:space="preserve">. Основанием для расторжения </w:t>
      </w:r>
      <w:r w:rsidR="00C90763" w:rsidRPr="001074D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45684" w:rsidRPr="001074DC">
        <w:rPr>
          <w:rFonts w:ascii="Times New Roman" w:hAnsi="Times New Roman" w:cs="Times New Roman"/>
          <w:sz w:val="28"/>
          <w:szCs w:val="28"/>
        </w:rPr>
        <w:t>контрактов было соглашени</w:t>
      </w:r>
      <w:r w:rsidR="009B4D5A" w:rsidRPr="001074DC">
        <w:rPr>
          <w:rFonts w:ascii="Times New Roman" w:hAnsi="Times New Roman" w:cs="Times New Roman"/>
          <w:sz w:val="28"/>
          <w:szCs w:val="28"/>
        </w:rPr>
        <w:t>е</w:t>
      </w:r>
      <w:r w:rsidR="00F45684" w:rsidRPr="001074DC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B03F02" w:rsidRPr="001074DC" w:rsidRDefault="00B03F02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4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Контрактов, </w:t>
      </w:r>
      <w:r w:rsidRPr="001074DC">
        <w:rPr>
          <w:rFonts w:ascii="Times New Roman" w:hAnsi="Times New Roman" w:cs="Times New Roman"/>
          <w:color w:val="000000" w:themeColor="text1"/>
          <w:sz w:val="28"/>
          <w:szCs w:val="28"/>
        </w:rPr>
        <w:t>расторгнутых заказчиками в одностороннем порядке, а также по решению суда не выявлено, что свидетельствует о том, что проведение процедур обеспечило отбор квалифицированных поставщиков, способных выполнить условия контракта.</w:t>
      </w:r>
    </w:p>
    <w:p w:rsidR="00B03F02" w:rsidRPr="001074DC" w:rsidRDefault="00B03F02" w:rsidP="00DB10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F02" w:rsidRPr="001074DC" w:rsidRDefault="00B03F02" w:rsidP="00DB105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DC">
        <w:rPr>
          <w:rFonts w:ascii="Times New Roman" w:hAnsi="Times New Roman" w:cs="Times New Roman"/>
          <w:b/>
          <w:bCs/>
          <w:sz w:val="28"/>
          <w:szCs w:val="28"/>
        </w:rPr>
        <w:t>Результаты контроля в сфере закупок</w:t>
      </w:r>
    </w:p>
    <w:p w:rsidR="00196DF7" w:rsidRPr="001074DC" w:rsidRDefault="00FE09E9" w:rsidP="00DB10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A7164A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="004C75B3" w:rsidRPr="001074DC">
        <w:rPr>
          <w:rFonts w:ascii="Times New Roman" w:hAnsi="Times New Roman" w:cs="Times New Roman"/>
          <w:sz w:val="28"/>
          <w:szCs w:val="28"/>
        </w:rPr>
        <w:t xml:space="preserve">ЕИС в </w:t>
      </w:r>
      <w:r w:rsidR="00196DF7" w:rsidRPr="001074DC">
        <w:rPr>
          <w:rFonts w:ascii="Times New Roman" w:hAnsi="Times New Roman" w:cs="Times New Roman"/>
          <w:sz w:val="28"/>
          <w:szCs w:val="28"/>
        </w:rPr>
        <w:t>2017 год</w:t>
      </w:r>
      <w:r w:rsidR="0023409F" w:rsidRPr="001074DC">
        <w:rPr>
          <w:rFonts w:ascii="Times New Roman" w:hAnsi="Times New Roman" w:cs="Times New Roman"/>
          <w:sz w:val="28"/>
          <w:szCs w:val="28"/>
        </w:rPr>
        <w:t>у</w:t>
      </w:r>
      <w:r w:rsidR="00196DF7" w:rsidRPr="001074DC">
        <w:rPr>
          <w:rFonts w:ascii="Times New Roman" w:hAnsi="Times New Roman" w:cs="Times New Roman"/>
          <w:sz w:val="28"/>
          <w:szCs w:val="28"/>
        </w:rPr>
        <w:t xml:space="preserve"> в органы контроля, на действия (бездействие) заказчика при осуществлении закупок товаров, работ, услуг поступило </w:t>
      </w:r>
      <w:r w:rsidR="0023409F" w:rsidRPr="001074DC">
        <w:rPr>
          <w:rFonts w:ascii="Times New Roman" w:hAnsi="Times New Roman" w:cs="Times New Roman"/>
          <w:sz w:val="28"/>
          <w:szCs w:val="28"/>
        </w:rPr>
        <w:t>94</w:t>
      </w:r>
      <w:r w:rsidR="00196DF7" w:rsidRPr="001074DC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C279C">
        <w:rPr>
          <w:rFonts w:ascii="Times New Roman" w:hAnsi="Times New Roman" w:cs="Times New Roman"/>
          <w:sz w:val="28"/>
          <w:szCs w:val="28"/>
        </w:rPr>
        <w:t>ы, информация о которых содержится в нижеприведенной таблице:</w:t>
      </w:r>
    </w:p>
    <w:p w:rsidR="00196DF7" w:rsidRPr="001074DC" w:rsidRDefault="00196DF7" w:rsidP="00DB105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095"/>
        <w:gridCol w:w="2552"/>
      </w:tblGrid>
      <w:tr w:rsidR="00196DF7" w:rsidRPr="001074DC" w:rsidTr="00B1661D">
        <w:trPr>
          <w:trHeight w:val="63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F7" w:rsidRPr="001074DC" w:rsidRDefault="00196DF7" w:rsidP="00DB10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DF7" w:rsidRPr="001074DC" w:rsidRDefault="00196DF7" w:rsidP="00DB10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F7" w:rsidRPr="001074DC" w:rsidRDefault="00196DF7" w:rsidP="00DB10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96DF7" w:rsidRPr="001074DC" w:rsidTr="00BC279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1074DC" w:rsidRDefault="00196DF7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DF7" w:rsidRPr="001074DC" w:rsidRDefault="00196DF7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жалоб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1074DC" w:rsidRDefault="0023409F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8274C1" w:rsidRPr="001074DC" w:rsidTr="00BC279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Жалоба признана обоснованной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96DF7" w:rsidRPr="001074DC" w:rsidTr="00BC279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F7" w:rsidRPr="001074DC" w:rsidRDefault="004C75B3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DF7" w:rsidRPr="001074DC" w:rsidRDefault="00196DF7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Жалоба признана необоснованной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F7" w:rsidRPr="001074DC" w:rsidRDefault="0023409F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8274C1" w:rsidRPr="001074DC" w:rsidTr="00BC279C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Жалоба признана частично обоснованной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274C1" w:rsidRPr="001074DC" w:rsidTr="00BC279C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4C1" w:rsidRPr="001074DC" w:rsidRDefault="008274C1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Нерассмотренные жалобы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C1" w:rsidRPr="001074DC" w:rsidRDefault="00803426" w:rsidP="00BC27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EC406E" w:rsidRPr="001074DC" w:rsidRDefault="00EC406E" w:rsidP="00DB10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800" w:rsidRPr="001074DC" w:rsidRDefault="00B765B6" w:rsidP="00DB10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По результатам контроля в соответствии с частями 5 и 6 ст.</w:t>
      </w:r>
      <w:r w:rsidR="002D05F5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 xml:space="preserve">99 </w:t>
      </w:r>
      <w:r w:rsidR="009A6575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537800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8274C1" w:rsidRPr="001074DC">
        <w:rPr>
          <w:rFonts w:ascii="Times New Roman" w:hAnsi="Times New Roman" w:cs="Times New Roman"/>
          <w:sz w:val="28"/>
          <w:szCs w:val="28"/>
        </w:rPr>
        <w:t xml:space="preserve">за </w:t>
      </w:r>
      <w:r w:rsidR="00537800" w:rsidRPr="001074DC">
        <w:rPr>
          <w:rFonts w:ascii="Times New Roman" w:hAnsi="Times New Roman" w:cs="Times New Roman"/>
          <w:sz w:val="28"/>
          <w:szCs w:val="28"/>
        </w:rPr>
        <w:t xml:space="preserve">2017 год контрольными органами  </w:t>
      </w:r>
      <w:r w:rsidR="004C75B3" w:rsidRPr="001074DC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274C1" w:rsidRPr="001074DC">
        <w:rPr>
          <w:rFonts w:ascii="Times New Roman" w:hAnsi="Times New Roman" w:cs="Times New Roman"/>
          <w:sz w:val="28"/>
          <w:szCs w:val="28"/>
        </w:rPr>
        <w:t>9</w:t>
      </w:r>
      <w:r w:rsidR="004C75B3" w:rsidRPr="001074DC">
        <w:rPr>
          <w:rFonts w:ascii="Times New Roman" w:hAnsi="Times New Roman" w:cs="Times New Roman"/>
          <w:sz w:val="28"/>
          <w:szCs w:val="28"/>
        </w:rPr>
        <w:t xml:space="preserve"> несоответствий</w:t>
      </w:r>
      <w:r w:rsidR="000B164F" w:rsidRPr="001074DC">
        <w:rPr>
          <w:rFonts w:ascii="Times New Roman" w:hAnsi="Times New Roman" w:cs="Times New Roman"/>
          <w:sz w:val="28"/>
          <w:szCs w:val="28"/>
        </w:rPr>
        <w:t xml:space="preserve"> контролируемой информации.</w:t>
      </w:r>
    </w:p>
    <w:p w:rsidR="005B6B17" w:rsidRPr="001074DC" w:rsidRDefault="00B1661D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комитетом</w:t>
      </w:r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по </w:t>
      </w:r>
      <w:r w:rsidR="004C3377" w:rsidRPr="001074DC">
        <w:rPr>
          <w:rFonts w:ascii="Times New Roman" w:hAnsi="Times New Roman" w:cs="Times New Roman"/>
          <w:sz w:val="28"/>
          <w:szCs w:val="28"/>
        </w:rPr>
        <w:t>результатам проведенного мониторинга закупок товаров, работ, услуг государственных заказчиков Республики Татарстан</w:t>
      </w:r>
      <w:r w:rsidR="000B164F" w:rsidRPr="001074DC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65BDF" w:rsidRPr="001074DC">
        <w:rPr>
          <w:rFonts w:ascii="Times New Roman" w:hAnsi="Times New Roman" w:cs="Times New Roman"/>
          <w:sz w:val="28"/>
          <w:szCs w:val="28"/>
        </w:rPr>
        <w:t>о</w:t>
      </w:r>
      <w:r w:rsidR="000B164F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5B6B17" w:rsidRPr="001074DC">
        <w:rPr>
          <w:rFonts w:ascii="Times New Roman" w:hAnsi="Times New Roman" w:cs="Times New Roman"/>
          <w:sz w:val="28"/>
          <w:szCs w:val="28"/>
        </w:rPr>
        <w:t>7</w:t>
      </w:r>
      <w:r w:rsidR="00830B1E" w:rsidRPr="001074DC">
        <w:rPr>
          <w:rFonts w:ascii="Times New Roman" w:hAnsi="Times New Roman" w:cs="Times New Roman"/>
          <w:sz w:val="28"/>
          <w:szCs w:val="28"/>
        </w:rPr>
        <w:t>9</w:t>
      </w:r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0032E">
        <w:rPr>
          <w:rFonts w:ascii="Times New Roman" w:hAnsi="Times New Roman" w:cs="Times New Roman"/>
          <w:sz w:val="28"/>
          <w:szCs w:val="28"/>
        </w:rPr>
        <w:t>й</w:t>
      </w:r>
      <w:r w:rsidR="005B6B17" w:rsidRPr="001074DC">
        <w:rPr>
          <w:rFonts w:ascii="Times New Roman" w:hAnsi="Times New Roman" w:cs="Times New Roman"/>
          <w:sz w:val="28"/>
          <w:szCs w:val="28"/>
        </w:rPr>
        <w:t>, из них:</w:t>
      </w:r>
    </w:p>
    <w:p w:rsidR="005B6B17" w:rsidRPr="001074DC" w:rsidRDefault="005B6B17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164F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 xml:space="preserve">62 нарушения по </w:t>
      </w:r>
      <w:r w:rsidR="000B164F" w:rsidRPr="001074DC">
        <w:rPr>
          <w:rFonts w:ascii="Times New Roman" w:hAnsi="Times New Roman" w:cs="Times New Roman"/>
          <w:sz w:val="28"/>
          <w:szCs w:val="28"/>
        </w:rPr>
        <w:t>размещени</w:t>
      </w:r>
      <w:r w:rsidRPr="001074DC">
        <w:rPr>
          <w:rFonts w:ascii="Times New Roman" w:hAnsi="Times New Roman" w:cs="Times New Roman"/>
          <w:sz w:val="28"/>
          <w:szCs w:val="28"/>
        </w:rPr>
        <w:t>ю</w:t>
      </w:r>
      <w:r w:rsidR="000B164F" w:rsidRPr="001074DC">
        <w:rPr>
          <w:rFonts w:ascii="Times New Roman" w:hAnsi="Times New Roman" w:cs="Times New Roman"/>
          <w:sz w:val="28"/>
          <w:szCs w:val="28"/>
        </w:rPr>
        <w:t xml:space="preserve"> в ЕИС извещений об осуществлении закупки ранее десяти календарных дней со дня внесения изменений в план-г</w:t>
      </w:r>
      <w:r w:rsidR="00165BDF" w:rsidRPr="001074DC">
        <w:rPr>
          <w:rFonts w:ascii="Times New Roman" w:hAnsi="Times New Roman" w:cs="Times New Roman"/>
          <w:sz w:val="28"/>
          <w:szCs w:val="28"/>
        </w:rPr>
        <w:t>рафик</w:t>
      </w:r>
      <w:r w:rsidRPr="001074DC">
        <w:rPr>
          <w:rFonts w:ascii="Times New Roman" w:hAnsi="Times New Roman" w:cs="Times New Roman"/>
          <w:sz w:val="28"/>
          <w:szCs w:val="28"/>
        </w:rPr>
        <w:t>;</w:t>
      </w:r>
    </w:p>
    <w:p w:rsidR="005B6B17" w:rsidRPr="001074DC" w:rsidRDefault="005B6B17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-</w:t>
      </w:r>
      <w:r w:rsidR="00830B1E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>1</w:t>
      </w:r>
      <w:r w:rsidR="00830B1E" w:rsidRPr="001074DC">
        <w:rPr>
          <w:rFonts w:ascii="Times New Roman" w:hAnsi="Times New Roman" w:cs="Times New Roman"/>
          <w:sz w:val="28"/>
          <w:szCs w:val="28"/>
        </w:rPr>
        <w:t>4</w:t>
      </w:r>
      <w:r w:rsidR="009F27C2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Pr="001074DC">
        <w:rPr>
          <w:rFonts w:ascii="Times New Roman" w:hAnsi="Times New Roman" w:cs="Times New Roman"/>
          <w:sz w:val="28"/>
          <w:szCs w:val="28"/>
        </w:rPr>
        <w:t xml:space="preserve">нарушений касаются </w:t>
      </w:r>
      <w:r w:rsidR="00A930A8" w:rsidRPr="001074DC">
        <w:rPr>
          <w:rFonts w:ascii="Times New Roman" w:hAnsi="Times New Roman" w:cs="Times New Roman"/>
          <w:sz w:val="28"/>
          <w:szCs w:val="28"/>
        </w:rPr>
        <w:t>отсутстви</w:t>
      </w:r>
      <w:r w:rsidRPr="001074DC">
        <w:rPr>
          <w:rFonts w:ascii="Times New Roman" w:hAnsi="Times New Roman" w:cs="Times New Roman"/>
          <w:sz w:val="28"/>
          <w:szCs w:val="28"/>
        </w:rPr>
        <w:t>я</w:t>
      </w:r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в документациях о закупке</w:t>
      </w:r>
      <w:r w:rsidR="00830B1E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A930A8" w:rsidRPr="001074DC">
        <w:rPr>
          <w:rFonts w:ascii="Times New Roman" w:hAnsi="Times New Roman" w:cs="Times New Roman"/>
          <w:sz w:val="28"/>
          <w:szCs w:val="28"/>
        </w:rPr>
        <w:t>идентификационного код</w:t>
      </w:r>
      <w:r w:rsidRPr="001074DC">
        <w:rPr>
          <w:rFonts w:ascii="Times New Roman" w:hAnsi="Times New Roman" w:cs="Times New Roman"/>
          <w:sz w:val="28"/>
          <w:szCs w:val="28"/>
        </w:rPr>
        <w:t>а закупки;</w:t>
      </w:r>
    </w:p>
    <w:p w:rsidR="005B6B17" w:rsidRPr="001074DC" w:rsidRDefault="005B6B17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-</w:t>
      </w:r>
      <w:r w:rsidR="00494EA0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830B1E" w:rsidRPr="001074DC">
        <w:rPr>
          <w:rFonts w:ascii="Times New Roman" w:hAnsi="Times New Roman" w:cs="Times New Roman"/>
          <w:sz w:val="28"/>
          <w:szCs w:val="28"/>
        </w:rPr>
        <w:t xml:space="preserve">1 нарушение </w:t>
      </w:r>
      <w:proofErr w:type="gramStart"/>
      <w:r w:rsidR="00830B1E" w:rsidRPr="001074DC">
        <w:rPr>
          <w:rFonts w:ascii="Times New Roman" w:hAnsi="Times New Roman" w:cs="Times New Roman"/>
          <w:sz w:val="28"/>
          <w:szCs w:val="28"/>
        </w:rPr>
        <w:t>срока</w:t>
      </w:r>
      <w:r w:rsidR="00494EA0" w:rsidRPr="001074DC">
        <w:rPr>
          <w:rFonts w:ascii="Times New Roman" w:hAnsi="Times New Roman" w:cs="Times New Roman"/>
          <w:sz w:val="28"/>
          <w:szCs w:val="28"/>
        </w:rPr>
        <w:t xml:space="preserve"> </w:t>
      </w:r>
      <w:r w:rsidR="00A930A8" w:rsidRPr="001074DC">
        <w:rPr>
          <w:rFonts w:ascii="Times New Roman" w:hAnsi="Times New Roman" w:cs="Times New Roman"/>
          <w:sz w:val="28"/>
          <w:szCs w:val="28"/>
        </w:rPr>
        <w:t>разм</w:t>
      </w:r>
      <w:r w:rsidR="00494EA0" w:rsidRPr="001074DC">
        <w:rPr>
          <w:rFonts w:ascii="Times New Roman" w:hAnsi="Times New Roman" w:cs="Times New Roman"/>
          <w:sz w:val="28"/>
          <w:szCs w:val="28"/>
        </w:rPr>
        <w:t>ещен</w:t>
      </w:r>
      <w:r w:rsidR="00830B1E" w:rsidRPr="001074DC">
        <w:rPr>
          <w:rFonts w:ascii="Times New Roman" w:hAnsi="Times New Roman" w:cs="Times New Roman"/>
          <w:sz w:val="28"/>
          <w:szCs w:val="28"/>
        </w:rPr>
        <w:t>ия</w:t>
      </w:r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30B1E" w:rsidRPr="001074DC">
        <w:rPr>
          <w:rFonts w:ascii="Times New Roman" w:hAnsi="Times New Roman" w:cs="Times New Roman"/>
          <w:sz w:val="28"/>
          <w:szCs w:val="28"/>
        </w:rPr>
        <w:t>а</w:t>
      </w:r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</w:t>
      </w:r>
      <w:proofErr w:type="gramEnd"/>
      <w:r w:rsidR="00A930A8" w:rsidRPr="001074DC">
        <w:rPr>
          <w:rFonts w:ascii="Times New Roman" w:hAnsi="Times New Roman" w:cs="Times New Roman"/>
          <w:sz w:val="28"/>
          <w:szCs w:val="28"/>
        </w:rPr>
        <w:t xml:space="preserve"> на 3 дня позже даты проведения электронного аукциона.</w:t>
      </w:r>
      <w:r w:rsidR="00494EA0" w:rsidRPr="0010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1E" w:rsidRPr="001074DC" w:rsidRDefault="00830B1E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- 1 нарушение срока размещения в ЕИС п</w:t>
      </w:r>
      <w:r w:rsidR="005B6B17" w:rsidRPr="001074DC">
        <w:rPr>
          <w:rFonts w:ascii="Times New Roman" w:hAnsi="Times New Roman" w:cs="Times New Roman"/>
          <w:sz w:val="28"/>
          <w:szCs w:val="28"/>
        </w:rPr>
        <w:t>ротокол</w:t>
      </w:r>
      <w:r w:rsidRPr="001074DC">
        <w:rPr>
          <w:rFonts w:ascii="Times New Roman" w:hAnsi="Times New Roman" w:cs="Times New Roman"/>
          <w:sz w:val="28"/>
          <w:szCs w:val="28"/>
        </w:rPr>
        <w:t>а</w:t>
      </w:r>
      <w:r w:rsidR="005B6B17" w:rsidRPr="001074DC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электронном </w:t>
      </w:r>
      <w:proofErr w:type="gramStart"/>
      <w:r w:rsidR="005B6B17" w:rsidRPr="001074DC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5B6B17" w:rsidRPr="001074DC">
        <w:rPr>
          <w:rFonts w:ascii="Times New Roman" w:hAnsi="Times New Roman" w:cs="Times New Roman"/>
          <w:sz w:val="28"/>
          <w:szCs w:val="28"/>
        </w:rPr>
        <w:t xml:space="preserve"> позднее даты окончания срока рассмотрения заявок на участие в эл</w:t>
      </w:r>
      <w:r w:rsidRPr="001074DC">
        <w:rPr>
          <w:rFonts w:ascii="Times New Roman" w:hAnsi="Times New Roman" w:cs="Times New Roman"/>
          <w:sz w:val="28"/>
          <w:szCs w:val="28"/>
        </w:rPr>
        <w:t>ектронном аукционе на один день.</w:t>
      </w:r>
    </w:p>
    <w:p w:rsidR="00830B1E" w:rsidRPr="001074DC" w:rsidRDefault="00830B1E" w:rsidP="00DB1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4DC">
        <w:rPr>
          <w:rFonts w:ascii="Times New Roman" w:hAnsi="Times New Roman" w:cs="Times New Roman"/>
          <w:sz w:val="28"/>
          <w:szCs w:val="28"/>
        </w:rPr>
        <w:t>- 1 нарушение связано с сокращением сроков подачи заявок на участие в определении поставщика (подрядчика, исполнителя).</w:t>
      </w:r>
    </w:p>
    <w:p w:rsidR="00B1661D" w:rsidRDefault="00B1661D" w:rsidP="00B1661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B1661D" w:rsidRDefault="00B1661D" w:rsidP="00B1661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B1661D" w:rsidRPr="002C725B" w:rsidRDefault="002C725B" w:rsidP="002C725B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2C725B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Оценка эффективности обеспечения государственных нужд Республики Татарстан</w:t>
      </w:r>
    </w:p>
    <w:p w:rsidR="00BC279C" w:rsidRDefault="009A6575" w:rsidP="009A657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Положительно оце</w:t>
      </w:r>
      <w:r w:rsidR="0050032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нить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эффективност</w:t>
      </w:r>
      <w:r w:rsidR="0050032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обеспечения государственных нужд Республики Татарстан</w:t>
      </w:r>
      <w:r w:rsidR="0050032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позволяет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информация, размещаемая заказчиками Республики Татарстан по заключенным контрактам. Так в ЕИС содержатся первичные документы (</w:t>
      </w:r>
      <w:proofErr w:type="gramStart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счет-фактуры</w:t>
      </w:r>
      <w:proofErr w:type="gramEnd"/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акты приемки поставленного товара, выполненной работы, оказанной услуги, платежные поручения и др.), подтверждающие надлежащее исполнение по заключенным контрактам.</w:t>
      </w:r>
    </w:p>
    <w:p w:rsidR="00674794" w:rsidRDefault="00674794" w:rsidP="009A657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Разница между совокупностью начальных (максимальных) цен контрактов и совокупностью цен контрактов по итогам 2017 года составляет 218 050 784 рубля 99 копеек.</w:t>
      </w:r>
    </w:p>
    <w:p w:rsidR="00330B73" w:rsidRPr="00403367" w:rsidRDefault="009A6575" w:rsidP="0040336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Анализ приведенной выше информации также свидетельствует о совершении заказчиками действий направленных на достижение целей, предусмотренных статьей 13</w:t>
      </w:r>
      <w:r w:rsidR="004068F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Закона о контрактной системе.</w:t>
      </w:r>
      <w:bookmarkStart w:id="0" w:name="_GoBack"/>
      <w:bookmarkEnd w:id="0"/>
    </w:p>
    <w:sectPr w:rsidR="00330B73" w:rsidRPr="00403367" w:rsidSect="00403367">
      <w:pgSz w:w="11906" w:h="16838"/>
      <w:pgMar w:top="992" w:right="849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7A"/>
    <w:multiLevelType w:val="hybridMultilevel"/>
    <w:tmpl w:val="5C0CD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A64"/>
    <w:multiLevelType w:val="hybridMultilevel"/>
    <w:tmpl w:val="E80A4DD0"/>
    <w:lvl w:ilvl="0" w:tplc="AF0259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EC8"/>
    <w:multiLevelType w:val="hybridMultilevel"/>
    <w:tmpl w:val="4DE8211C"/>
    <w:lvl w:ilvl="0" w:tplc="8A961976">
      <w:start w:val="1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F37D4"/>
    <w:multiLevelType w:val="hybridMultilevel"/>
    <w:tmpl w:val="006EBCD0"/>
    <w:lvl w:ilvl="0" w:tplc="C1820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F96B11"/>
    <w:multiLevelType w:val="multilevel"/>
    <w:tmpl w:val="0A40A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7">
    <w:nsid w:val="39C04D3C"/>
    <w:multiLevelType w:val="multilevel"/>
    <w:tmpl w:val="D3B67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</w:rPr>
    </w:lvl>
  </w:abstractNum>
  <w:abstractNum w:abstractNumId="8">
    <w:nsid w:val="4F1E09E0"/>
    <w:multiLevelType w:val="hybridMultilevel"/>
    <w:tmpl w:val="99C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59F2"/>
    <w:multiLevelType w:val="multilevel"/>
    <w:tmpl w:val="8CBA5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</w:rPr>
    </w:lvl>
  </w:abstractNum>
  <w:abstractNum w:abstractNumId="10">
    <w:nsid w:val="65F12774"/>
    <w:multiLevelType w:val="hybridMultilevel"/>
    <w:tmpl w:val="4DE8211C"/>
    <w:lvl w:ilvl="0" w:tplc="8A961976">
      <w:start w:val="1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A2657C"/>
    <w:multiLevelType w:val="hybridMultilevel"/>
    <w:tmpl w:val="1E20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2"/>
    <w:rsid w:val="0000031C"/>
    <w:rsid w:val="0000619F"/>
    <w:rsid w:val="00007D3E"/>
    <w:rsid w:val="000302EF"/>
    <w:rsid w:val="00032D10"/>
    <w:rsid w:val="00036BC1"/>
    <w:rsid w:val="000375FB"/>
    <w:rsid w:val="00047E44"/>
    <w:rsid w:val="0006319F"/>
    <w:rsid w:val="0006433C"/>
    <w:rsid w:val="00072AB6"/>
    <w:rsid w:val="00085B73"/>
    <w:rsid w:val="00093104"/>
    <w:rsid w:val="00097C4A"/>
    <w:rsid w:val="000A0E6E"/>
    <w:rsid w:val="000A12F8"/>
    <w:rsid w:val="000A5084"/>
    <w:rsid w:val="000B164F"/>
    <w:rsid w:val="000D5D74"/>
    <w:rsid w:val="000E02E6"/>
    <w:rsid w:val="00100EAE"/>
    <w:rsid w:val="001074DC"/>
    <w:rsid w:val="001309E9"/>
    <w:rsid w:val="00136C95"/>
    <w:rsid w:val="001539A2"/>
    <w:rsid w:val="00156E3C"/>
    <w:rsid w:val="00165BDF"/>
    <w:rsid w:val="001825BD"/>
    <w:rsid w:val="001866C2"/>
    <w:rsid w:val="00196DF7"/>
    <w:rsid w:val="001A38DB"/>
    <w:rsid w:val="001A5761"/>
    <w:rsid w:val="001D4F2A"/>
    <w:rsid w:val="001E2F0D"/>
    <w:rsid w:val="0021472E"/>
    <w:rsid w:val="002163B9"/>
    <w:rsid w:val="00216937"/>
    <w:rsid w:val="002202DF"/>
    <w:rsid w:val="00230636"/>
    <w:rsid w:val="00232CD3"/>
    <w:rsid w:val="0023409F"/>
    <w:rsid w:val="00240967"/>
    <w:rsid w:val="00246813"/>
    <w:rsid w:val="00256143"/>
    <w:rsid w:val="00256F6A"/>
    <w:rsid w:val="00265C51"/>
    <w:rsid w:val="00270224"/>
    <w:rsid w:val="00275DD8"/>
    <w:rsid w:val="002831DF"/>
    <w:rsid w:val="0028535A"/>
    <w:rsid w:val="00294699"/>
    <w:rsid w:val="002C674B"/>
    <w:rsid w:val="002C725B"/>
    <w:rsid w:val="002D05F5"/>
    <w:rsid w:val="002E7854"/>
    <w:rsid w:val="002F4EAD"/>
    <w:rsid w:val="0030430B"/>
    <w:rsid w:val="00330B73"/>
    <w:rsid w:val="00335A80"/>
    <w:rsid w:val="00337F74"/>
    <w:rsid w:val="003468B3"/>
    <w:rsid w:val="00351AA9"/>
    <w:rsid w:val="00352FA6"/>
    <w:rsid w:val="00361E13"/>
    <w:rsid w:val="0039149A"/>
    <w:rsid w:val="00393CCE"/>
    <w:rsid w:val="003A29A9"/>
    <w:rsid w:val="003C5546"/>
    <w:rsid w:val="003C632A"/>
    <w:rsid w:val="003D4E4A"/>
    <w:rsid w:val="003E29A9"/>
    <w:rsid w:val="003E2AB0"/>
    <w:rsid w:val="00403367"/>
    <w:rsid w:val="004068F7"/>
    <w:rsid w:val="00406F00"/>
    <w:rsid w:val="00425024"/>
    <w:rsid w:val="00444CD9"/>
    <w:rsid w:val="004525A8"/>
    <w:rsid w:val="00453C6F"/>
    <w:rsid w:val="00453EC5"/>
    <w:rsid w:val="00464F3F"/>
    <w:rsid w:val="00494EA0"/>
    <w:rsid w:val="004A22D2"/>
    <w:rsid w:val="004B5640"/>
    <w:rsid w:val="004C3377"/>
    <w:rsid w:val="004C7410"/>
    <w:rsid w:val="004C75B3"/>
    <w:rsid w:val="004D57E5"/>
    <w:rsid w:val="0050032E"/>
    <w:rsid w:val="0050173D"/>
    <w:rsid w:val="00505AC1"/>
    <w:rsid w:val="00525A05"/>
    <w:rsid w:val="00536C4D"/>
    <w:rsid w:val="00537800"/>
    <w:rsid w:val="00546C64"/>
    <w:rsid w:val="005528D4"/>
    <w:rsid w:val="0055531F"/>
    <w:rsid w:val="005577B7"/>
    <w:rsid w:val="00571026"/>
    <w:rsid w:val="00574B61"/>
    <w:rsid w:val="00581885"/>
    <w:rsid w:val="00585136"/>
    <w:rsid w:val="00591173"/>
    <w:rsid w:val="005A1F2F"/>
    <w:rsid w:val="005A260B"/>
    <w:rsid w:val="005B6B17"/>
    <w:rsid w:val="005C1613"/>
    <w:rsid w:val="005C2F94"/>
    <w:rsid w:val="005E263E"/>
    <w:rsid w:val="005F04C4"/>
    <w:rsid w:val="005F17F6"/>
    <w:rsid w:val="005F59E2"/>
    <w:rsid w:val="00600ECD"/>
    <w:rsid w:val="00630F57"/>
    <w:rsid w:val="006348D7"/>
    <w:rsid w:val="00651EC8"/>
    <w:rsid w:val="006535B1"/>
    <w:rsid w:val="00674794"/>
    <w:rsid w:val="00687141"/>
    <w:rsid w:val="00692654"/>
    <w:rsid w:val="006A1314"/>
    <w:rsid w:val="006C10BB"/>
    <w:rsid w:val="006C1374"/>
    <w:rsid w:val="006C3D7B"/>
    <w:rsid w:val="006D3D9E"/>
    <w:rsid w:val="006E6BE3"/>
    <w:rsid w:val="00703FCF"/>
    <w:rsid w:val="00747EA8"/>
    <w:rsid w:val="00750F7C"/>
    <w:rsid w:val="00761BAD"/>
    <w:rsid w:val="007621F3"/>
    <w:rsid w:val="00762DE0"/>
    <w:rsid w:val="007840BF"/>
    <w:rsid w:val="0078465F"/>
    <w:rsid w:val="007925F9"/>
    <w:rsid w:val="00796012"/>
    <w:rsid w:val="007963D0"/>
    <w:rsid w:val="007A36AF"/>
    <w:rsid w:val="007A5F5E"/>
    <w:rsid w:val="007B4421"/>
    <w:rsid w:val="007D046B"/>
    <w:rsid w:val="007D5B9C"/>
    <w:rsid w:val="007F654C"/>
    <w:rsid w:val="007F7FF3"/>
    <w:rsid w:val="00803426"/>
    <w:rsid w:val="00811064"/>
    <w:rsid w:val="00823D26"/>
    <w:rsid w:val="0082474E"/>
    <w:rsid w:val="008274C1"/>
    <w:rsid w:val="00830B1E"/>
    <w:rsid w:val="00830CF3"/>
    <w:rsid w:val="00831E86"/>
    <w:rsid w:val="00834E22"/>
    <w:rsid w:val="00834F92"/>
    <w:rsid w:val="0083548B"/>
    <w:rsid w:val="0084228C"/>
    <w:rsid w:val="008470C0"/>
    <w:rsid w:val="008A13A3"/>
    <w:rsid w:val="008B19AB"/>
    <w:rsid w:val="008C04A6"/>
    <w:rsid w:val="008C5684"/>
    <w:rsid w:val="008D6383"/>
    <w:rsid w:val="008E083C"/>
    <w:rsid w:val="008F0815"/>
    <w:rsid w:val="0090026C"/>
    <w:rsid w:val="009135C0"/>
    <w:rsid w:val="009174A5"/>
    <w:rsid w:val="00934437"/>
    <w:rsid w:val="00963E28"/>
    <w:rsid w:val="00965BEB"/>
    <w:rsid w:val="0097647F"/>
    <w:rsid w:val="00976785"/>
    <w:rsid w:val="00994C70"/>
    <w:rsid w:val="009A646F"/>
    <w:rsid w:val="009A6575"/>
    <w:rsid w:val="009B4D5A"/>
    <w:rsid w:val="009C2C1C"/>
    <w:rsid w:val="009D5C7B"/>
    <w:rsid w:val="009E0693"/>
    <w:rsid w:val="009E6E62"/>
    <w:rsid w:val="009F27C2"/>
    <w:rsid w:val="009F6EC6"/>
    <w:rsid w:val="00A0750B"/>
    <w:rsid w:val="00A11D3A"/>
    <w:rsid w:val="00A13474"/>
    <w:rsid w:val="00A17B46"/>
    <w:rsid w:val="00A26758"/>
    <w:rsid w:val="00A33D6A"/>
    <w:rsid w:val="00A356D2"/>
    <w:rsid w:val="00A40C84"/>
    <w:rsid w:val="00A43BB6"/>
    <w:rsid w:val="00A47AD4"/>
    <w:rsid w:val="00A7164A"/>
    <w:rsid w:val="00A7346F"/>
    <w:rsid w:val="00A776CD"/>
    <w:rsid w:val="00A930A8"/>
    <w:rsid w:val="00AA1369"/>
    <w:rsid w:val="00AA6A2F"/>
    <w:rsid w:val="00AB11DE"/>
    <w:rsid w:val="00AB584B"/>
    <w:rsid w:val="00B03F02"/>
    <w:rsid w:val="00B143B4"/>
    <w:rsid w:val="00B1661D"/>
    <w:rsid w:val="00B2688B"/>
    <w:rsid w:val="00B41158"/>
    <w:rsid w:val="00B464A2"/>
    <w:rsid w:val="00B5111A"/>
    <w:rsid w:val="00B51D24"/>
    <w:rsid w:val="00B51FC3"/>
    <w:rsid w:val="00B764D8"/>
    <w:rsid w:val="00B765B6"/>
    <w:rsid w:val="00B82CB0"/>
    <w:rsid w:val="00B84DE4"/>
    <w:rsid w:val="00B90376"/>
    <w:rsid w:val="00BC279C"/>
    <w:rsid w:val="00BC5EB8"/>
    <w:rsid w:val="00BC6494"/>
    <w:rsid w:val="00BE5120"/>
    <w:rsid w:val="00BE5718"/>
    <w:rsid w:val="00C02C52"/>
    <w:rsid w:val="00C307E1"/>
    <w:rsid w:val="00C37A56"/>
    <w:rsid w:val="00C556DE"/>
    <w:rsid w:val="00C577FF"/>
    <w:rsid w:val="00C61ECE"/>
    <w:rsid w:val="00C63C8A"/>
    <w:rsid w:val="00C72727"/>
    <w:rsid w:val="00C90763"/>
    <w:rsid w:val="00CA0F1D"/>
    <w:rsid w:val="00CA43F5"/>
    <w:rsid w:val="00CA5676"/>
    <w:rsid w:val="00CC58E0"/>
    <w:rsid w:val="00CD1B3C"/>
    <w:rsid w:val="00CF63A6"/>
    <w:rsid w:val="00CF7155"/>
    <w:rsid w:val="00D00CD7"/>
    <w:rsid w:val="00D36E8E"/>
    <w:rsid w:val="00D440C9"/>
    <w:rsid w:val="00D473AC"/>
    <w:rsid w:val="00D523A3"/>
    <w:rsid w:val="00D62DCA"/>
    <w:rsid w:val="00D71E38"/>
    <w:rsid w:val="00D82648"/>
    <w:rsid w:val="00DA2976"/>
    <w:rsid w:val="00DA2C73"/>
    <w:rsid w:val="00DB105B"/>
    <w:rsid w:val="00DC0E90"/>
    <w:rsid w:val="00DC2270"/>
    <w:rsid w:val="00DD01B4"/>
    <w:rsid w:val="00DD7DF3"/>
    <w:rsid w:val="00DE2538"/>
    <w:rsid w:val="00DE36C4"/>
    <w:rsid w:val="00DF2A07"/>
    <w:rsid w:val="00DF7272"/>
    <w:rsid w:val="00E00BC0"/>
    <w:rsid w:val="00E0141C"/>
    <w:rsid w:val="00E149CE"/>
    <w:rsid w:val="00E16817"/>
    <w:rsid w:val="00E21316"/>
    <w:rsid w:val="00E526E5"/>
    <w:rsid w:val="00E71466"/>
    <w:rsid w:val="00E71650"/>
    <w:rsid w:val="00E75290"/>
    <w:rsid w:val="00E95E80"/>
    <w:rsid w:val="00EA1ECC"/>
    <w:rsid w:val="00EA684B"/>
    <w:rsid w:val="00EB355C"/>
    <w:rsid w:val="00EC406E"/>
    <w:rsid w:val="00ED772B"/>
    <w:rsid w:val="00EE6F6E"/>
    <w:rsid w:val="00EE7FDD"/>
    <w:rsid w:val="00F26FD3"/>
    <w:rsid w:val="00F41787"/>
    <w:rsid w:val="00F45684"/>
    <w:rsid w:val="00F53164"/>
    <w:rsid w:val="00F54E25"/>
    <w:rsid w:val="00F55540"/>
    <w:rsid w:val="00F621AD"/>
    <w:rsid w:val="00F81466"/>
    <w:rsid w:val="00F90234"/>
    <w:rsid w:val="00F9140A"/>
    <w:rsid w:val="00F978B7"/>
    <w:rsid w:val="00FC081B"/>
    <w:rsid w:val="00FC1F0D"/>
    <w:rsid w:val="00FC2425"/>
    <w:rsid w:val="00FC2850"/>
    <w:rsid w:val="00FC4BD4"/>
    <w:rsid w:val="00FD2434"/>
    <w:rsid w:val="00FD5937"/>
    <w:rsid w:val="00FE09E9"/>
    <w:rsid w:val="00FE64C3"/>
    <w:rsid w:val="00FE6D51"/>
    <w:rsid w:val="00FF1091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BC6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C6494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94E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6E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E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E3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E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E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BC6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C6494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94E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6E3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E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E3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E3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 b="0" i="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99625421708688E-2"/>
          <c:y val="0.2227394901189515"/>
          <c:w val="0.5642995322343265"/>
          <c:h val="0.72999237907256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закупок в количественном выражении по способу определения поставщика</c:v>
                </c:pt>
              </c:strCache>
            </c:strRef>
          </c:tx>
          <c:dPt>
            <c:idx val="1"/>
            <c:bubble3D val="0"/>
            <c:explosion val="20"/>
          </c:dPt>
          <c:dLbls>
            <c:dLbl>
              <c:idx val="0"/>
              <c:layout>
                <c:manualLayout>
                  <c:x val="2.5271060958632203E-2"/>
                  <c:y val="-4.13361693267152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3197470742595978E-2"/>
                  <c:y val="-0.21927167932068015"/>
                </c:manualLayout>
              </c:layout>
              <c:numFmt formatCode="0%" sourceLinked="0"/>
              <c:spPr>
                <a:ln w="6350" cap="sq">
                  <a:miter lim="800000"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9041754724559043E-2"/>
                  <c:y val="-3.61031517050435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857548576615627E-2"/>
                  <c:y val="-7.3562218107229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ln w="6350" cap="sq">
                <a:miter lim="800000"/>
              </a:ln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Открытый конкурс</c:v>
                </c:pt>
                <c:pt idx="1">
                  <c:v>Электронный аукцион</c:v>
                </c:pt>
                <c:pt idx="2">
                  <c:v>Конкурс с ограниченным участием</c:v>
                </c:pt>
                <c:pt idx="3">
                  <c:v>Осуществление закупки у единственного поставщика (подрядчика, исполнителя) по 93статье 44-ФЗ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93</c:v>
                </c:pt>
                <c:pt idx="2">
                  <c:v>0.2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657138813419306"/>
          <c:y val="0.17419610215927822"/>
          <c:w val="0.29131323269817389"/>
          <c:h val="0.780373385206526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9547-32DD-436C-9066-1FF1AAA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gup_crz_17</dc:creator>
  <cp:lastModifiedBy>Тимербулатов Тимур Ильгизович</cp:lastModifiedBy>
  <cp:revision>3</cp:revision>
  <cp:lastPrinted>2018-03-26T14:06:00Z</cp:lastPrinted>
  <dcterms:created xsi:type="dcterms:W3CDTF">2018-03-27T07:10:00Z</dcterms:created>
  <dcterms:modified xsi:type="dcterms:W3CDTF">2018-03-29T14:21:00Z</dcterms:modified>
</cp:coreProperties>
</file>